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BattG — Mitwirkung der öffentlich-rechtlichen Entsorgungsträger</w:t>
      </w:r>
    </w:p>
    <w:p>
      <w:r>
        <w:rPr>
          <w:color w:val="555555"/>
          <w:sz w:val="18"/>
        </w:rPr>
        <w:t xml:space="preserve">Batteriegesetz</w:t>
      </w:r>
    </w:p>
    <w:p>
      <w:r>
        <w:rPr>
          <w:color w:val="555555"/>
          <w:sz w:val="18"/>
        </w:rPr>
        <w:t xml:space="preserve">Außer Kraft: § 13 ist seit 07.10.2025 nicht mehr im BattG enthalten. Angezeigt wird die letzte bekannte Fassung, Stand 01.01.2021.</w:t>
      </w:r>
    </w:p>
    <w:p>
      <w:r>
        <w:t xml:space="preserve">(1) Die öffentlich-rechtlichen Entsorgungsträger sind verpflichtet, Geräte-Altbatterien, die gemäß § 10 Absatz 1 Satz 2 des Elektro- und Elektronikgerätegesetzes durch den Endnutzer vom Elektro- oder Elektronikgerät zu trennen sind, unentgeltlich zurückzunehmen. Diese Geräte-Altbatterien sind einem Rücknahmesystem nach § 7 Absatz 1 Satz 1 zu überlassen. Satz 2 gilt auch, sofern sich öffentlich-rechtliche Entsorgungsträger freiwillig an der Rücknahme sonstiger Geräte-Altbatterien beteiligen. Die Bindung an ein Rücknahmesystem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3 und 4 gelten nicht, sofern die Genehmigung des Rücknahmesystems während der Laufzeit entfällt.</w:t>
      </w:r>
    </w:p>
    <w:p>
      <w:r>
        <w:t xml:space="preserve">(2) Öffentlich-rechtliche Entsorgungsträger können sich an der Rücknahme von Fahrzeug-Altbatterien beteiligen. Sofern eine Beteiligung erfolgt, sind sie verpflichtet, die erfassten Fahrzeug-Altbatterien nach § 14 zu verwerten.</w:t>
      </w:r>
    </w:p>
    <w:p>
      <w:r>
        <w:rPr>
          <w:color w:val="555555"/>
          <w:sz w:val="17"/>
        </w:rPr>
        <w:t xml:space="preserve">Zitiervorschlag: § 13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