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BattG — Überlassungs- und Verwertungspflichten Dritter</w:t>
      </w:r>
    </w:p>
    <w:p>
      <w:r>
        <w:rPr>
          <w:color w:val="555555"/>
          <w:sz w:val="18"/>
        </w:rPr>
        <w:t xml:space="preserve">Batteriegesetz</w:t>
      </w:r>
    </w:p>
    <w:p>
      <w:r>
        <w:rPr>
          <w:color w:val="555555"/>
          <w:sz w:val="18"/>
        </w:rPr>
        <w:t xml:space="preserve">Außer Kraft: § 12 ist seit 07.10.2025 nicht mehr im BattG enthalten. Angezeigt wird die letzte bekannte Fassung, Stand 01.01.2021.</w:t>
      </w:r>
    </w:p>
    <w:p>
      <w:r>
        <w:t xml:space="preserve">(1) Die Betreiber von Behandlungseinrichtungen für Altgeräte nach dem Elektro- und Elektronikgerätegesetz sind verpflichtet, bei der Behandlung anfallende Geräte-Altbatterien einem Rücknahmesystem nach § 7 Absatz 1 Satz 1 zu überlassen.</w:t>
      </w:r>
    </w:p>
    <w:p>
      <w:r>
        <w:t xml:space="preserve">(2) Die Betreiber von Behandlungseinrichtungen für Altfahrzeuge nach der Altfahrzeug-Verordnung sind verpflichtet, bei der Behandlung anfallende Geräte-Altbatterien einem Rücknahmesystem nach § 7 Absatz 1 Satz 1 zu überlassen.</w:t>
      </w:r>
    </w:p>
    <w:p>
      <w:r>
        <w:t xml:space="preserve">(3) Die Bindung an ein Rücknahmesystem erfolgt für mindestens zwölf Monate. Eine Kündigung ist nur zulässig bis drei Monate vor Ablauf der vereinbarten Laufzeit oder, falls keine Laufzeit vereinbart ist, bis drei Monate vor Ablauf der zwölf Monate. Wird die Kündigungsfrist nicht eingehalten oder keine Kündigung erklärt, verlängert sich die Laufzeit um mindestens zwölf weitere Monate. Die Sätze 1 und 2 gelten nicht, sofern die Genehmigung des Rücknahmesystems während der Laufzeit entfällt.</w:t>
      </w:r>
    </w:p>
    <w:p>
      <w:r>
        <w:t xml:space="preserve">(4) Für die bei der Behandlung nach den Absätzen 1 und 2 anfallenden Fahrzeug- und Industrie-Altbatterien ist § 9 Absatz 3 entsprechend anzuwenden.</w:t>
      </w:r>
    </w:p>
    <w:p>
      <w:r>
        <w:rPr>
          <w:color w:val="555555"/>
          <w:sz w:val="17"/>
        </w:rPr>
        <w:t xml:space="preserve">Zitiervorschlag: § 12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