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BattG — Pflichten des Endnutzers</w:t>
      </w:r>
    </w:p>
    <w:p>
      <w:r>
        <w:rPr>
          <w:color w:val="555555"/>
          <w:sz w:val="18"/>
        </w:rPr>
        <w:t xml:space="preserve">Batteriegesetz</w:t>
      </w:r>
    </w:p>
    <w:p>
      <w:r>
        <w:rPr>
          <w:color w:val="555555"/>
          <w:sz w:val="18"/>
        </w:rPr>
        <w:t xml:space="preserve">Außer Kraft: § 11 ist seit 07.10.2025 nicht mehr im BattG enthalten. Angezeigt wird die letzte bekannte Fassung, Stand 01.01.2021.</w:t>
      </w:r>
    </w:p>
    <w:p>
      <w:r>
        <w:t xml:space="preserve">(1) Besitzer von Altbatterien haben diese einer vom unsortierten Siedlungsabfall getrennten Erfassung zuzuführen. Satz 1 gilt nicht für Altbatterien, die in andere Produkte eingebaut sind; das Elektro- und Elektronikgerätegesetz und die Altfahrzeug-Verordnung bleiben unberührt.</w:t>
      </w:r>
    </w:p>
    <w:p>
      <w:r>
        <w:t xml:space="preserve">(2) Geräte-Altbatterien werden ausschließlich über Rücknahmestellen, die den Rücknahmesystemen nach § 7 Absatz 1 Satz 1 angeschlossen sind, erfasst.</w:t>
      </w:r>
    </w:p>
    <w:p>
      <w:r>
        <w:t xml:space="preserve">(3) Fahrzeug-Altbatterien werden ausschließlich über die Vertreiber, die öffentlich-rechtlichen Entsorgungsträger und über die Behandlungseinrichtungen nach § 12 Absatz 2 erfasst. Abweichend von Satz 1 können Endnutzer, die gewerbliche oder sonstige wirtschaftliche Unternehmen oder öffentliche Einrichtungen sind, die bei ihnen anfallenden Fahrzeug-Altbatterien unmittelbar den Herstellern oder gewerblichen Altbatterieentsorgern überlassen.</w:t>
      </w:r>
    </w:p>
    <w:p>
      <w:r>
        <w:t xml:space="preserve">(4) Industrie-Altbatterien werden ausschließlich über die Vertreiber, die Behandlungseinrichtungen nach § 12 Absatz 2 und über gewerbliche Altbatterieentsorger erfasst, soweit nicht abweichende Vereinbarungen nach § 8 Absatz 2 getroffen worden sind; die Erfüllung der Anforderungen aus § 14 ist sicherzustellen.</w:t>
      </w:r>
    </w:p>
    <w:p>
      <w:r>
        <w:rPr>
          <w:color w:val="555555"/>
          <w:sz w:val="17"/>
        </w:rPr>
        <w:t xml:space="preserve">Zitiervorschlag: § 11 BattG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https://recht.nulegal.eu/gesetze/BattG/11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