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BattDG — Sicherheitsleistung</w:t>
      </w:r>
    </w:p>
    <w:p>
      <w:r>
        <w:rPr>
          <w:color w:val="555555"/>
          <w:sz w:val="18"/>
        </w:rPr>
        <w:t xml:space="preserve">Batterierecht-Durchführungsgesetz</w:t>
      </w:r>
    </w:p>
    <w:p>
      <w:r>
        <w:rPr>
          <w:color w:val="555555"/>
          <w:sz w:val="18"/>
        </w:rPr>
        <w:t xml:space="preserve">Stand: 07.10.2025 (konsolidierte Textfassung, kein amtliches Inkrafttretensdatum)</w:t>
      </w:r>
    </w:p>
    <w:p>
      <w:r>
        <w:t xml:space="preserve">(1) Jede Organisation für Herstellerverantwortung ist verpflichtet, der zuständigen Behörde kalenderjährlich eine angemessene und insolvenzsichere Sicherheit für die Rücknahme und Entsorgung der Altbatterien zu leisten, die die beteiligten Hersteller im Geltungsbereich dieses Gesetzes erstmals auf dem Markt bereitstellen oder bereitgestellt haben.</w:t>
      </w:r>
    </w:p>
    <w:p>
      <w:r>
        <w:t xml:space="preserve">(2) Für die Sicherheit sind folgende Formen möglich:</w:t>
      </w:r>
    </w:p>
    <w:p>
      <w:pPr>
        <w:ind w:left="420"/>
      </w:pPr>
      <w:r>
        <w:t xml:space="preserve">1. eine Bürgschaft auf erstes Anfordern eines Kreditinstituts oder Kreditversicherers, die die Kostenerstattungsansprüche der zuständigen Behörde aus behördlichen Ersatzvornahmen zur Durchsetzung der Erreichung des Ziels nach Artikel 59 Absatz 3 der Verordnung (EU) 2023/1542 oder nach Artikel 60 Absatz 3 der Verordnung (EU) 2023/1542, der Einhaltung der Vorgaben nach Artikel 58 Absatz 2 der Verordnung (EU) 2023/1542 oder der §§ 11 und 13 sowie der Einhaltung der Anordnungen nach § 31 Absatz 6 und § 41 Absatz 1 und die Ausgleichsverpflichtungen der Organisationen für Herstellerverantwortung für die jeweilige Batteriekategorie gemäß § 12 Absatz 3 sichert,</w:t>
      </w:r>
    </w:p>
    <w:p>
      <w:pPr>
        <w:ind w:left="420"/>
      </w:pPr>
      <w:r>
        <w:t xml:space="preserve">2. eine Garantie auf erstes Anfordern eines Kreditinstituts oder Kreditversicherers, die die Kostenerstattungsansprüche der zuständigen Behörde aus behördlichen Ersatzvornahmen zur Durchsetzung der Erreichung des Ziels nach Artikel 59 Absatz 3 der Verordnung (EU) 2023/1542 oder Artikel 60 Absatz 3 der Verordnung (EU) 2023/1542, der Einhaltung der Vorgaben nach Artikel 58 Absatz 2 der Verordnung (EU) 2023/1542 oder der §§ 11 und 13 sowie der Einhaltung der Anordnungen nach § 31 Absatz 6 und § 41 Absatz 1 und die Ausgleichsverpflichtungen der Organisationen für Herstellerverantwortung für die jeweilige Batteriekategorie gemäß § 12 Absatz 3 sichert, oder</w:t>
      </w:r>
    </w:p>
    <w:p>
      <w:pPr>
        <w:ind w:left="420"/>
      </w:pPr>
      <w:r>
        <w:t xml:space="preserve">3. die Hinterlegung von Geld zur Sicherheitsleistung im Sinne von § 232 Absatz 1 des Bürgerlichen Gesetzbuchs in der am 7. April 2025 geltenden Fassung zugunsten der zuständigen Behörde nach näherer Maßgabe der Hinterlegungsgesetze der Länder.</w:t>
      </w:r>
    </w:p>
    <w:p>
      <w:r>
        <w:t xml:space="preserve">(3) Die Höhe der Sicherheitsleistung ist in der Regel angemessen, wenn die Bürgschaft, die Garantie oder der hinterlegte Geldbetrag</w:t>
      </w:r>
    </w:p>
    <w:p>
      <w:pPr>
        <w:ind w:left="420"/>
      </w:pPr>
      <w:r>
        <w:t xml:space="preserve">1. für Geräte- und LV-Batterien mindestens das Zweifache des Produkts aus dem jeweils geltenden Ausgleichssatz gemäß § 31 Absatz 7 und der Pflichtenwahrnehmungsgrenze gemäß § 8 Absatz 6 umfasst oder</w:t>
      </w:r>
    </w:p>
    <w:p>
      <w:pPr>
        <w:ind w:left="420"/>
      </w:pPr>
      <w:r>
        <w:t xml:space="preserve">2. für Industrie-, Starter- und Elektrofahrzeugbatterien die durchschnittlichen Kosten für die Abholung und Behandlung von Altbatterien der jeweiligen Batteriekategorie im Umfang der nach § 7 Absatz 2 Satz 2 bestätigten Beteiligungsmenge für einen Zeitraum von sechs Monaten umfasst.</w:t>
      </w:r>
    </w:p>
    <w:p>
      <w:r>
        <w:t xml:space="preserve">(4) Die Höhe der erbrachten Sicherheitsleistung ist regelmäßig von der zuständigen Behörde zu überprüfen. Die zuständige Behörde hat anzuordnen, dass die Sicherheitsleistung zu erhöhen ist, wenn die erbrachte Sicherheitsleistung im Hinblick auf die zugelassene Pflichtenwahrnehmungsgrenze gemäß § 8 Absatz 6, die geltenden Ausgleichssätze gemäß § 31 Absatz 7 Satz 1 bis 4 oder die durchschnittlichen Kosten für die Abholung und Behandlung von Altbatterien nach § 31 Absatz 7 Satz 5 nicht mehr angemessen ist. Die zuständige Behörde kann die Zulassung von Organisationen für Herstellerverantwortung widerrufen, wenn die erhöhte Sicherheit nicht innerhalb von einem Monat nach Erlass der Anordnung nach Satz 2 geleistet ist.</w:t>
      </w:r>
    </w:p>
    <w:p>
      <w:r>
        <w:rPr>
          <w:color w:val="555555"/>
          <w:sz w:val="17"/>
        </w:rPr>
        <w:t xml:space="preserve">Zitiervorschlag: § 9 BattDG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https://recht.nulegal.eu/gesetze/BattDG/9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