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7 BattDG — Pflichten der Hersteller</w:t>
      </w:r>
    </w:p>
    <w:p>
      <w:r>
        <w:rPr>
          <w:color w:val="555555"/>
          <w:sz w:val="18"/>
        </w:rPr>
        <w:t xml:space="preserve">Batterierecht-Durchführungsgesetz</w:t>
      </w:r>
    </w:p>
    <w:p>
      <w:r>
        <w:rPr>
          <w:color w:val="555555"/>
          <w:sz w:val="18"/>
        </w:rPr>
        <w:t xml:space="preserve">Stand: 07.10.2025 (konsolidierte Textfassung, kein amtliches Inkrafttretensdatum)</w:t>
      </w:r>
    </w:p>
    <w:p>
      <w:r>
        <w:t xml:space="preserve">(1) Hersteller von Batterien haben sich mit diesen Batterien zur Gewährleistung der flächendeckenden Rücknahme von Altbatterien je Batteriekategorie an einer Organisation für Herstellerverantwortung zu beteiligen oder ihre erweiterte Herstellerverantwortung individuell wahrzunehmen. Auf Hersteller, die die Pflichten der erweiterten Herstellerverantwortung individuell wahrnehmen, sind mit Ausnahme von § 10 die Bestimmungen über Organisationen für Herstellerverantwortung entsprechend anzuwenden.</w:t>
      </w:r>
    </w:p>
    <w:p>
      <w:r>
        <w:t xml:space="preserve">(2) Die Hersteller haben gegenüber der Organisation für Herstellerverantwortung die Batteriekategorie und die Masse an Batterien, die jeweils von ihnen in den drei vorangegangenen Kalenderjahren auf dem Markt im Geltungsbereich dieses Gesetzes bereitgestellt wurden, anzugeben und diese Angabe kalenderjährlich zu aktualisieren. Die Organisationen für Herstellerverantwortung haben den Herstellern eine erfolgte Beteiligung unter Angabe der Batteriekategorie und kalenderjährlichen Beteiligungsmenge unverzüglich schriftlich oder elektronisch zu bestätigen. Die Hersteller und die Organisationen für Herstellerverantwortung haben die Angaben nach den Sätzen 1 und 2 jedes Jahr zeitgleich der zuständigen Behörde anzuzeigen.</w:t>
      </w:r>
    </w:p>
    <w:p>
      <w:r>
        <w:t xml:space="preserve">(3) Wird die Zulassung einer Organisation für Herstellerverantwortung vor Ablauf des Zeitraums, für den sich ein Hersteller an dieser beteiligt hat, nach Artikel 58 Absatz 6 der Verordnung (EU) 2023/1542 oder nach § 33 Absatz 2 oder 3 widerrufen oder in sonstiger Weise unwirksam, so gilt die Beteiligung ab dem Zeitpunkt der Wirksamkeit des Widerrufs oder des Eintritts der sonstigen Unwirksamkeit als nicht vorgenommen.</w:t>
      </w:r>
    </w:p>
    <w:p>
      <w:r>
        <w:rPr>
          <w:color w:val="555555"/>
          <w:sz w:val="17"/>
        </w:rPr>
        <w:t xml:space="preserve">Zitiervorschlag: § 7 BattDG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https://recht.nulegal.eu/gesetze/BattDG/7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