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BattDG — Übergangsvorschriften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Registrierungen mit der Batterieart Fahrzeugbatterie gemäß § 2 Absatz 4 des Batteriegesetzes vom 25. Juni 2009 (BGBl. I S. 1582), das zuletzt durch Artikel 1 des Gesetzes vom 3. November 2020 (BGBl. I S. 2280) geändert worden ist, die vor dem 18. August 2025 erteilt wurden, gelten längstens bis zum Ablauf des 15. Januar 2026 als Registrierungen mit der Batteriekategorie Starterbatterie gemäß Artikel 3 Absatz 1 Nummer 12 der Verordnung (EU) 2023/1542.</w:t>
      </w:r>
    </w:p>
    <w:p>
      <w:r>
        <w:t xml:space="preserve">(2) Registrierungen mit der Batterieart Industriebatterie gemäß § 2 Absatz 5 des Batteriegesetzes, die vor dem 18. August 2025 erteilt wurden, gelten längstens bis zum Ablauf des 15. Januar 2026 als Registrierungen jeweils mit den Batteriekategorien LV-Batterie gemäß Artikel 3 Absatz 1 Nummer 11 der Verordnung (EU) 2023/1542, Industriebatterie gemäß Artikel 3 Absatz 1 Nummer 13 der Verordnung (EU) 2023/1542 und Elektrofahrzeugbatterien gemäß Artikel 3 Absatz 1 Nummer 14 der Verordnung (EU) 2023/1542.</w:t>
      </w:r>
    </w:p>
    <w:p>
      <w:r>
        <w:t xml:space="preserve">(3) Registrierungen mit der Batterieart Gerätebatterie gemäß § 2 Absatz 6 des Batteriegesetzes, die vor dem 18. August 2025 erteilt wurden, gelten längstens bis zum Ablauf des 15. Januar 2026 als Registrierungen mit der Batteriekategorie Gerätebatterie gemäß Artikel 3 Absatz 1 Nummer 9 der Verordnung (EU) 2023/1542.</w:t>
      </w:r>
    </w:p>
    <w:p>
      <w:r>
        <w:t xml:space="preserve">(4) Registrierungen von natürlichen oder juristischen Personen oder Personengesellschaften, die nicht im Geltungsbereich dieses Gesetzes niedergelassen sind, sind von der Fortgeltung nach den Absätzen 1 bis 3 ausgeschlossen.</w:t>
      </w:r>
    </w:p>
    <w:p>
      <w:r>
        <w:t xml:space="preserve">(5) Für gemäß den Absätzen 1 bis 3 fortgeltende Registrierungen gelten bis zum Ablauf des 15. Januar 2026 die Aufgaben, Befugnisse und Zuständigkeiten nach dem Batteriegesetz in der bis zum Ablauf des 6. Oktober 2025 geltenden Fassung fort.</w:t>
      </w:r>
    </w:p>
    <w:p>
      <w:r>
        <w:t xml:space="preserve">(6) Genehmigungen von Rücknahmesystemen nach § 7 des Batteriegesetzes in der bis zum Ablauf des 6. Oktober 2025 geltenden Fassung gelten längstens bis zum Ablauf des 31. Dezember 2025 als Zulassung von Organisationen für Herstellerverantwortung nach § 8. Für gemäß Satz 1 fortgeltende Genehmigungen gelten für das Berichtsjahr 2025 die Bestimmungen, Aufgaben, Befugnisse und Zuständigkeiten nach dem Batteriegesetz in der bis zum Ablauf des 6. Oktober 2025 geltenden Fassung fort.</w:t>
      </w:r>
    </w:p>
    <w:p>
      <w:r>
        <w:t xml:space="preserve">(7) Gemäß den Absätzen 1 bis 3 fortgeltende Registrierungen von Herstellern oder im Fall der Bevollmächtigung nach § 26 des Batteriegesetzes ihrer Bevollmächtigter, die den Nachweis der Beteiligung an einer Organisation für Herstellerverantwortung nach § 7 für die betreffende Batteriekategorie nicht bis zum Ablauf des 15. Januar 2026 gegenüber der zuständigen Behörde erbracht haben, gelten rückwirkend ab dem 1. Januar 2026 als aufgehoben. Die Sätze 1 und 2 gelten für das Berichtsjahr 2025 auch für Anträge auf Änderungen fortgeltender Genehmigungen sowie für Anträge auf Neuerteilung von Genehmigungen nach § 7 des Batteriegesetzes in der bis zum 6. Oktober 2025 geltenden Fassung entsprechend.</w:t>
      </w:r>
    </w:p>
    <w:p>
      <w:r>
        <w:t xml:space="preserve">(8) Gemäß der Absätze 1 bis 3 fortgeltende Registrierungen von Bevollmächtigten nach § 26 Absatz 2 des Batteriegesetzes, die bis zum Ablauf des 15. Januar 2026 gegenüber der zuständigen Behörde keinen Nachweis ihrer schriftlichen Beauftragung im Sinne des Artikels 56 Absatz 3 der Verordnung (EU) 2023/1542 erbracht haben, gelten rückwirkend ab dem 1. Januar 2026 als aufgehoben.</w:t>
      </w:r>
    </w:p>
    <w:p>
      <w:r>
        <w:t xml:space="preserve">(9) Organisationen für Herstellerverantwortung werden nach § 8 frühestens mit Wirkung zum 1. Januar 2026 zugelassen.</w:t>
      </w:r>
    </w:p>
    <w:p>
      <w:r>
        <w:t xml:space="preserve">(10) Hersteller von Gerätebatterien oder im Fall der Bevollmächtigung nach § 40 Absatz 2 deren Bevollmächtigte für die erweiterte Herstellerverantwortung, die nach dem 17. August 2025 einen Antrag auf Registrierung stellen, müssen den Nachweis der Beauftragung einer nach Artikel 58 der Verordnung (EU) 2023/1542 zugelassenen Organisation für Herstellerverantwortung nach § 7 Absatz 1 erst mit Wirkung zum 1. Januar 2026 erbringen. Für Hersteller von Gerätebatterien oder im Fall der Bevollmächtigung nach § 40 Absatz 2 deren Bevollmächtigte für die erweiterte Herstellerverantwortung, die nach dem 17. August 2025 einen Antrag auf Registrierung stellen, gelten die Anforderungen nach § 4 Absatz 2 Nummer 7 des Batteriegesetzes in der bis zum 6. Oktober 2025 geltenden Fassung bis zum Ablauf des 31. Dezember 2025 fort. Die Absätze 5, 7 und 8 gelten für diese Registrierungen entsprechend.</w:t>
      </w:r>
    </w:p>
    <w:p>
      <w:r>
        <w:t xml:space="preserve">(11) Hersteller von LV-, Starter-, Industrie- und Elektrofahrzeugbatterien oder im Fall der Bevollmächtigung nach § 40 Absatz 2 deren Bevollmächtigte für die erweiterte Herstellerverantwortung, die nach dem 17. August 2025 einen Antrag auf Registrierung stellen, müssen den Nachweis der Beauftragung einer nach Artikel 58 der Verordnung (EU) 2023/1542 zugelassenen Organisation für Herstellerverantwortung nach § 7 Absatz 1 erst mit Wirkung zum 1. Januar 2026 erbringen. Für Hersteller von LV-, Starter-, Industrie- und Elektrofahrzeugbatterien oder im Fall der Bevollmächtigung nach § 40 Absatz 2 deren Bevollmächtigte für die erweiterte Herstellerverantwortung, die nach dem 17. August 2025 einen Antrag auf Registrierung stellen, gelten die Anforderungen nach § 4 Absatz 2 Nummer 8 des Batteriegesetzes in der bis 6. Oktober 2025 geltenden Fassung bis zum Ablauf des 31. Dezember 2025 fort. Die Absätze 5, 7 und 8 gelten für diese Registrierungen entsprechend.</w:t>
      </w:r>
    </w:p>
    <w:p>
      <w:r>
        <w:t xml:space="preserve">(12) § 11 Absatz 7, § 18 Absatz 3, § 20 Absatz 1 Satz 2, die §§ 21 und 22 gelten erst ab dem 1. Januar 2026.</w:t>
      </w:r>
    </w:p>
    <w:p>
      <w:r>
        <w:t xml:space="preserve">(13) § 15 Absatz 1 gilt hinsichtlich LV-Altbatterien erst ab dem 1. Januar 2026.</w:t>
      </w:r>
    </w:p>
    <w:p>
      <w:r>
        <w:rPr>
          <w:color w:val="555555"/>
          <w:sz w:val="17"/>
        </w:rPr>
        <w:t xml:space="preserve">Zitiervorschlag: § 64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