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BattDG — Zuständige Verwaltungsbehörde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Verwaltungsbehörde im Sinne des § 36 Absatz 1 Nummer 1 des Gesetzes über Ordnungswidrigkeiten ist</w:t>
      </w:r>
    </w:p>
    <w:p>
      <w:pPr>
        <w:ind w:left="420"/>
      </w:pPr>
      <w:r>
        <w:t xml:space="preserve">1. in den Fällen des § 60 Absatz 1 Nummer 1 Buchstabe a, Nummer 2 bis 5, 11 und 12 Buchstabe a sowie des § 60 Absatz 2 Nummer 23 bis 25 das Umweltbundesamt und</w:t>
      </w:r>
    </w:p>
    <w:p>
      <w:pPr>
        <w:ind w:left="420"/>
      </w:pPr>
      <w:r>
        <w:t xml:space="preserve">2. in den Fällen des § 60 Absatz 1 Nummer 12 Buchstabe b und c sowie des § 60 Absatz 2 Nummer 14 bis 22 das Bundesamt für Wirtschaft und Ausfuhrkontrolle.</w:t>
      </w:r>
    </w:p>
    <w:p>
      <w:r>
        <w:t xml:space="preserve">(2) In den Fällen des Absatzes 1 fließen auch die im gerichtlichen Verfahren angeordneten Geldbußen und die Geldbeträge, deren Einziehung nach § 29a des Gesetzes über Ordnungswidrigkeiten gerichtlich angeordnet wurde, der Bundeskasse zu, die auch die der Staatskasse auferlegten Kosten trägt.</w:t>
      </w:r>
    </w:p>
    <w:p>
      <w:r>
        <w:rPr>
          <w:color w:val="555555"/>
          <w:sz w:val="17"/>
        </w:rPr>
        <w:t xml:space="preserve">Zitiervorschlag: § 61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