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BattDG — Bußgeldvorschriften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4 Absatz 1 oder 3 Nummer 1 oder</w:t>
      </w:r>
    </w:p>
    <w:p>
      <w:pPr>
        <w:ind w:left="780"/>
      </w:pPr>
      <w:r>
        <w:t xml:space="preserve">b) § 4 Absatz 2</w:t>
      </w:r>
    </w:p>
    <w:p>
      <w:pPr>
        <w:ind w:left="420"/>
      </w:pPr>
      <w:r>
        <w:t xml:space="preserve">eine Batterie bereitstellt,</w:t>
      </w:r>
    </w:p>
    <w:p>
      <w:pPr>
        <w:ind w:left="420"/>
      </w:pPr>
      <w:r>
        <w:t xml:space="preserve">2. entgegen § 4 Absatz 3 Nummer 3 die Lagerhaltung, Verpackung, Adressierung oder den Versand einer Batterie vornimmt,</w:t>
      </w:r>
    </w:p>
    <w:p>
      <w:pPr>
        <w:ind w:left="420"/>
      </w:pPr>
      <w:r>
        <w:t xml:space="preserve">3. entgegen § 10 Absatz 2 Satz 1 einen Bericht nicht, nicht richtig, nicht vollständig oder nicht rechtzeitig erstattet,</w:t>
      </w:r>
    </w:p>
    <w:p>
      <w:pPr>
        <w:ind w:left="420"/>
      </w:pPr>
      <w:r>
        <w:t xml:space="preserve">4. entgegen § 11 Absatz 5 Satz 1 eine Batterie nicht zurücknimmt,</w:t>
      </w:r>
    </w:p>
    <w:p>
      <w:pPr>
        <w:ind w:left="420"/>
      </w:pPr>
      <w:r>
        <w:t xml:space="preserve">5. entgegen § 13 Absatz 1 Satz 1 eine dort genannte Sammelquote nicht sicherstellt,</w:t>
      </w:r>
    </w:p>
    <w:p>
      <w:pPr>
        <w:ind w:left="420"/>
      </w:pPr>
      <w:r>
        <w:t xml:space="preserve">6. entgegen § 14 Absatz 3 Satz 1, § 16 Absatz 1, § 17 Absatz 1 oder 2 oder § 22 Absatz 2 eine Altbatterie einer Organisation für Herstellerverantwortung nicht überlässt,</w:t>
      </w:r>
    </w:p>
    <w:p>
      <w:pPr>
        <w:ind w:left="420"/>
      </w:pPr>
      <w:r>
        <w:t xml:space="preserve">7. entgegen § 19 Absatz 1 Satz 1 ein Pfand nicht oder nicht rechtzeitig erhebt,</w:t>
      </w:r>
    </w:p>
    <w:p>
      <w:pPr>
        <w:ind w:left="420"/>
      </w:pPr>
      <w:r>
        <w:t xml:space="preserve">8. entgegen § 19 Absatz 1 Satz 2 oder Absatz 2 Satz 2 ein Pfand nicht oder nicht rechtzeitig erstattet,</w:t>
      </w:r>
    </w:p>
    <w:p>
      <w:pPr>
        <w:ind w:left="420"/>
      </w:pPr>
      <w:r>
        <w:t xml:space="preserve">9. entgegen § 24 Absatz 1 oder 2 einen Hinweis nicht, nicht richtig, nicht vollständig oder nicht in der vorgeschriebenen Weise gibt,</w:t>
      </w:r>
    </w:p>
    <w:p>
      <w:pPr>
        <w:ind w:left="420"/>
      </w:pPr>
      <w:r>
        <w:t xml:space="preserve">10. entgegen § 24 Absatz 3 eine Information nicht, nicht richtig, nicht vollständig oder nicht in der vorgeschriebenen Weise gibt und einer Warensendung nicht, nicht richtig, nicht vollständig oder nicht in der vorgeschriebenen Weise beifügt,</w:t>
      </w:r>
    </w:p>
    <w:p>
      <w:pPr>
        <w:ind w:left="420"/>
      </w:pPr>
      <w:r>
        <w:t xml:space="preserve">11. entgegen § 26 Absatz 1 Satz 1 oder Absatz 3 Satz 1, § 27 Satz 1, § 28 Satz 1 oder § 29 Absatz 1 oder 2 Satz 1, auch in Verbindung mit Satz 2, eine Dokumentation nicht, nicht richtig, nicht vollständig oder nicht rechtzeitig vorlegt oder</w:t>
      </w:r>
    </w:p>
    <w:p>
      <w:pPr>
        <w:ind w:left="420"/>
      </w:pPr>
      <w:r>
        <w:t xml:space="preserve">12. einer vollziehbaren Anordnung nach</w:t>
      </w:r>
    </w:p>
    <w:p>
      <w:pPr>
        <w:ind w:left="780"/>
      </w:pPr>
      <w:r>
        <w:t xml:space="preserve">a) § 31 Absatz 6 Satz 1,</w:t>
      </w:r>
    </w:p>
    <w:p>
      <w:pPr>
        <w:ind w:left="780"/>
      </w:pPr>
      <w:r>
        <w:t xml:space="preserve">b) § 53 Absatz 3 Nummer 1 bis 3, 5 oder 7 oder</w:t>
      </w:r>
    </w:p>
    <w:p>
      <w:pPr>
        <w:ind w:left="780"/>
      </w:pPr>
      <w:r>
        <w:t xml:space="preserve">c) § 53 Absatz 3 Nummer 8 oder 9</w:t>
      </w:r>
    </w:p>
    <w:p>
      <w:pPr>
        <w:ind w:left="420"/>
      </w:pPr>
      <w:r>
        <w:t xml:space="preserve">zuwiderhandelt.</w:t>
      </w:r>
    </w:p>
    <w:p>
      <w:r>
        <w:t xml:space="preserve">(2) Ordnungswidrig handelt, wer gegen die Verordnung (EU) 2023/1542 in der Fassung vom 13. Juni 2024 verstößt, indem er vorsätzlich oder fahrlässig</w:t>
      </w:r>
    </w:p>
    <w:p>
      <w:pPr>
        <w:ind w:left="420"/>
      </w:pPr>
      <w:r>
        <w:t xml:space="preserve">1. entgegen Artikel 11 Absatz 1 Unterabsatz 1 Satz 1 oder Absatz 5 nicht dafür sorgt, dass eine Batterie oder eine Batteriezelle leicht entfernt oder ausgetauscht werden kann,</w:t>
      </w:r>
    </w:p>
    <w:p>
      <w:pPr>
        <w:ind w:left="420"/>
      </w:pPr>
      <w:r>
        <w:t xml:space="preserve">2. entgegen Artikel 19 in Verbindung mit Artikel 30 Absatz 5 Satz 1 der Verordnung (EG) Nr. 765/2008 in der Fassung vom 20. Juni 2019 eine Kennzeichnung, ein Zeichen oder eine Aufschrift auf einer Batterie anbringt,</w:t>
      </w:r>
    </w:p>
    <w:p>
      <w:pPr>
        <w:ind w:left="420"/>
      </w:pPr>
      <w:r>
        <w:t xml:space="preserve">3. entgegen Artikel 20 Absatz 1 in Verbindung mit Absatz 2, jeweils in Verbindung mit Artikel 38 Absatz 3, die CE-Kennzeichnung nicht, nicht richtig oder nicht rechtzeitig anbringt,</w:t>
      </w:r>
    </w:p>
    <w:p>
      <w:pPr>
        <w:ind w:left="420"/>
      </w:pPr>
      <w:r>
        <w:t xml:space="preserve">4. entgegen Artikel 38 Absatz 1 Buchstabe a nicht gewährleistet, dass eine Batterie nach einer Anforderung nach Artikel 6 Absatz 1, Artikel 7 Absatz 1 Unterabsatz 1, Artikel 8 Absatz 1 Unterabsatz 1, Absatz 2 oder 3, Artikel 9 Absatz 1 oder Artikel 12 Absatz 1 gestaltet oder erzeugt ist,</w:t>
      </w:r>
    </w:p>
    <w:p>
      <w:pPr>
        <w:ind w:left="420"/>
      </w:pPr>
      <w:r>
        <w:t xml:space="preserve">5. entgegen Artikel 38 Absatz 1 Buchstabe a in Verbindung mit § 48 Absatz 1 Nummer 1 nicht gewährleistet, dass einer Batterie die Betriebsanleitung und Sicherheitsinformationen in deutscher Sprache beigefügt sind,</w:t>
      </w:r>
    </w:p>
    <w:p>
      <w:pPr>
        <w:ind w:left="420"/>
      </w:pPr>
      <w:r>
        <w:t xml:space="preserve">6. entgegen Artikel 38 Absatz 1 Buchstabe b nicht gewährleistet, dass die Batterie nach Artikel 13 Absatz 4 bis 6 oder 7 gekennzeichnet ist,</w:t>
      </w:r>
    </w:p>
    <w:p>
      <w:pPr>
        <w:ind w:left="420"/>
      </w:pPr>
      <w:r>
        <w:t xml:space="preserve">7. entgegen Artikel 38 Absatz 4, auch in Verbindung mit Artikel 40 Absatz 3 Satz 4 Buchstabe a, oder entgegen Artikel 41 Absatz 7 ein dort genanntes Dokument nicht oder nicht mindestens zehn Jahre bereithält,</w:t>
      </w:r>
    </w:p>
    <w:p>
      <w:pPr>
        <w:ind w:left="420"/>
      </w:pPr>
      <w:r>
        <w:t xml:space="preserve">8. entgegen Artikel 38 Absatz 6 Satz 1 nicht gewährleistet, dass eine Batterie eine dort genannte Nummer oder ein anderes Kennzeichen trägt,</w:t>
      </w:r>
    </w:p>
    <w:p>
      <w:pPr>
        <w:ind w:left="420"/>
      </w:pPr>
      <w:r>
        <w:t xml:space="preserve">9. entgegen Artikel 38 Absatz 7 Satz 1 oder 2 oder Artikel 41 Absatz 3 Satz 1 oder 2 eine dort genannte Angabe nicht, nicht richtig oder nicht vollständig macht,</w:t>
      </w:r>
    </w:p>
    <w:p>
      <w:pPr>
        <w:ind w:left="420"/>
      </w:pPr>
      <w:r>
        <w:t xml:space="preserve">10. entgegen Artikel 38 Absatz 9 Satz 2, Artikel 41 Absatz 6 Satz 2 oder Artikel 42 Absatz 5 Satz 2 eine dort genannte Behörde nicht, nicht richtig oder nicht rechtzeitig unterrichtet,</w:t>
      </w:r>
    </w:p>
    <w:p>
      <w:pPr>
        <w:ind w:left="420"/>
      </w:pPr>
      <w:r>
        <w:t xml:space="preserve">11. entgegen Artikel 41 Absatz 2 Buchstabe b oder Artikel 42 Absatz 2 Buchstabe b sich nicht vergewissert, dass die Batterie nach Artikel 13 Absatz 4 bis 6 oder 7 gekennzeichnet ist,</w:t>
      </w:r>
    </w:p>
    <w:p>
      <w:pPr>
        <w:ind w:left="420"/>
      </w:pPr>
      <w:r>
        <w:t xml:space="preserve">12. entgegen Artikel 46 Absatz 1 eine dort genannte Information nicht, nicht richtig, nicht vollständig oder nicht rechtzeitig zur Verfügung stellt,</w:t>
      </w:r>
    </w:p>
    <w:p>
      <w:pPr>
        <w:ind w:left="420"/>
      </w:pPr>
      <w:r>
        <w:t xml:space="preserve">13. entgegen Artikel 46 Absatz 2 nicht sicherstellt, dass eine Information mindestens zehn Jahre vorgelegt werden kann,</w:t>
      </w:r>
    </w:p>
    <w:p>
      <w:pPr>
        <w:ind w:left="420"/>
      </w:pPr>
      <w:r>
        <w:t xml:space="preserve">14. entgegen Artikel 48 Absatz 2 Satz 1 oder Artikel 50 Absatz 3 Satz 3 eine dort genannte Überprüfung nicht, nicht richtig, nicht vollständig oder nicht innerhalb von drei Monaten nach dem Erreichen der in Artikel 47 Absatz 1 Unterabsatz 1 genannten Umsatzschwelle durchführen lässt,</w:t>
      </w:r>
    </w:p>
    <w:p>
      <w:pPr>
        <w:ind w:left="420"/>
      </w:pPr>
      <w:r>
        <w:t xml:space="preserve">15. entgegen Artikel 48 Absatz 2 Satz 1 eine dort genannte Strategie nicht oder nicht mindestens alle drei Jahre prüfen lässt,</w:t>
      </w:r>
    </w:p>
    <w:p>
      <w:pPr>
        <w:ind w:left="420"/>
      </w:pPr>
      <w:r>
        <w:t xml:space="preserve">16. entgegen Artikel 49 Absatz 1 Buchstabe a eine dort genannte Unternehmensstrategie nicht, nicht richtig oder nicht innerhalb von drei Monaten nach dem Erreichen der in Artikel 47 Absatz 1 Unterabsatz 1 genannten Umsatzschwelle verabschiedet,</w:t>
      </w:r>
    </w:p>
    <w:p>
      <w:pPr>
        <w:ind w:left="420"/>
      </w:pPr>
      <w:r>
        <w:t xml:space="preserve">17. entgegen Artikel 49 Absatz 1 Buchstabe e eine dort genannte Strategie in einen Vertrag oder eine Vereinbarung nicht oder nicht richtig aufnimmt,</w:t>
      </w:r>
    </w:p>
    <w:p>
      <w:pPr>
        <w:ind w:left="420"/>
      </w:pPr>
      <w:r>
        <w:t xml:space="preserve">18. entgegen Artikel 49 Absatz 1 Buchstabe f erster Halbsatz einen dort genannten Mechanismus nicht oder nicht innerhalb von drei Monaten nach dem Erreichen der in Artikel 47 Absatz 1 Unterabsatz 1 genannten Umsatzschwelle einführt und nicht oder nicht innerhalb von drei Monaten nach dem Erreichen dieser Umsatzschwelle bereitstellt,</w:t>
      </w:r>
    </w:p>
    <w:p>
      <w:pPr>
        <w:ind w:left="420"/>
      </w:pPr>
      <w:r>
        <w:t xml:space="preserve">19. entgegen Artikel 50 Absatz 1 Buchstabe a oder Absatz 3 Satz 1 oder 2 ein dort genanntes Risiko oder eine dort genannte Wahrscheinlichkeit nicht oder nicht innerhalb von drei Monaten nach dem Erreichen der in Artikel 47 Absatz 1 Unterabsatz 1 genannten Umsatzschwelle ermittelt oder nicht oder nicht innerhalb von drei Monaten nach dem Erreichen dieser Umsatzschwelle bewertet,</w:t>
      </w:r>
    </w:p>
    <w:p>
      <w:pPr>
        <w:ind w:left="420"/>
      </w:pPr>
      <w:r>
        <w:t xml:space="preserve">20. entgegen Artikel 50 Absatz 1 Buchstabe b Nummer i, iii oder iv eine Strategie nicht oder nicht innerhalb von drei Monaten nach dem Erreichen der in Artikel 47 Absatz 1 Unterabsatz 1 genannten Umsatzschwelle konzipiert oder nicht oder nicht innerhalb von drei Monaten nach dem Erreichen dieser Umsatzschwelle umsetzt,</w:t>
      </w:r>
    </w:p>
    <w:p>
      <w:pPr>
        <w:ind w:left="420"/>
      </w:pPr>
      <w:r>
        <w:t xml:space="preserve">21. entgegen Artikel 52 Absatz 1 ein dort genanntes Dokument nicht, nicht richtig, nicht vollständig oder nicht rechtzeitig zur Verfügung stellt,</w:t>
      </w:r>
    </w:p>
    <w:p>
      <w:pPr>
        <w:ind w:left="420"/>
      </w:pPr>
      <w:r>
        <w:t xml:space="preserve">22. entgegen Artikel 52 Absatz 3 Satz 1 in Verbindung mit Satz 2 eine Überprüfung nicht oder rechtzeitig vornimmt oder einen Bericht nicht oder nicht bis zum 1. April des Folgejahres veröffentlicht,</w:t>
      </w:r>
    </w:p>
    <w:p>
      <w:pPr>
        <w:ind w:left="420"/>
      </w:pPr>
      <w:r>
        <w:t xml:space="preserve">23. entgegen Artikel 55 Absatz 2 Unterabsatz 1 Satz 1 in Verbindung mit § 5 Absatz 1 Satz 1 oder 2 sich nicht, nicht richtig, nicht vollständig oder nicht rechtzeitig registriert,</w:t>
      </w:r>
    </w:p>
    <w:p>
      <w:pPr>
        <w:ind w:left="420"/>
      </w:pPr>
      <w:r>
        <w:t xml:space="preserve">24. entgegen Artikel 55 Absatz 12 eine Meldung nicht, nicht richtig, nicht vollständig oder nicht rechtzeitig macht,</w:t>
      </w:r>
    </w:p>
    <w:p>
      <w:pPr>
        <w:ind w:left="420"/>
      </w:pPr>
      <w:r>
        <w:t xml:space="preserve">25. entgegen Artikel 59 Absatz 3 Satz 1 Buchstabe b oder c oder Artikel 60 Absatz 3 Satz 1 eine dort genannte Zielvorgabe nicht oder nicht rechtzeitig erreicht,</w:t>
      </w:r>
    </w:p>
    <w:p>
      <w:pPr>
        <w:ind w:left="420"/>
      </w:pPr>
      <w:r>
        <w:t xml:space="preserve">26. entgegen Artikel 62 Absatz 1 eine Altbatterie nicht, nicht richtig oder nicht vollständig zurücknimmt,</w:t>
      </w:r>
    </w:p>
    <w:p>
      <w:pPr>
        <w:ind w:left="420"/>
      </w:pPr>
      <w:r>
        <w:t xml:space="preserve">27. entgegen Artikel 70 Absatz 1 eine Altbatterie beseitigt,</w:t>
      </w:r>
    </w:p>
    <w:p>
      <w:pPr>
        <w:ind w:left="420"/>
      </w:pPr>
      <w:r>
        <w:t xml:space="preserve">28. entgegen Artikel 74 Absatz 4 eine dort genannte Information nicht, nicht richtig, nicht vollständig oder nicht in der vorgeschriebenen Weise zur Verfügung stellt,</w:t>
      </w:r>
    </w:p>
    <w:p>
      <w:pPr>
        <w:ind w:left="420"/>
      </w:pPr>
      <w:r>
        <w:t xml:space="preserve">29. entgegen Artikel 77 Absatz 4 Satz 1 nicht sicherstellt, dass eine dort genannte Information korrekt, vollständig oder auf dem neuesten Stand ist,</w:t>
      </w:r>
    </w:p>
    <w:p>
      <w:pPr>
        <w:ind w:left="420"/>
      </w:pPr>
      <w:r>
        <w:t xml:space="preserve">30. einer vollziehbaren Anordnung nach Artikel 79 Absatz 4 Unterabsatz 1 oder Artikel 83 Absatz 2 zuwiderhandelt oder</w:t>
      </w:r>
    </w:p>
    <w:p>
      <w:pPr>
        <w:ind w:left="420"/>
      </w:pPr>
      <w:r>
        <w:t xml:space="preserve">31. entgegen Artikel 81 Absatz 2 nicht gewährleistet, dass eine Korrekturmaßnahme ergriffen wird.</w:t>
      </w:r>
    </w:p>
    <w:p>
      <w:r>
        <w:t xml:space="preserve">(3) Die Ordnungswidrigkeit kann in den Fällen des Absatzes 1 Nummer 12 Buchstabe c und des Absatzes 2 Nummer 14 bis 18, 20 und 22 mit einer Geldbuße bis zu fünfhunderttausend Euro, in den Fällen des Absatzes 1 Nummer 1 und 2, 4 bis 6, 11 und 12 Buchstabe a sowie in den Fällen des Absatzes 2 Nummer 10, 21, 23 bis 25, 30 und 31 mit einer Geldbuße bis zu hunderttausend Euro und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60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