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BattDG — Datenübermittlung an das Bundesamt für Wirtschaft und Ausfuhrkontrolle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Die Zollbehörden übermitteln dem Bundesamt für Wirtschaft und Ausfuhrkontrolle auf deren Ersuchen die für die Erfüllung ihrer Aufgaben nach Teil 5 dieses Gesetzes erforderlichen Informationen einschließlich personenbezogener Daten, die sie bei der Überlassung von Batterien zum zollrechtlich freien Verkehr erlangt haben. Das Steuergeheimnis nach § 30 der Abgabenordnung steht einer Weitergabe der Daten nicht entgegen.</w:t>
      </w:r>
    </w:p>
    <w:p>
      <w:r>
        <w:t xml:space="preserve">(2) Für den Datenaustausch und die Datenerfassung, die zur Durchführung der Verordnung (EU) 2023/1542 notwendig sind, kann das Bundesamt für Wirtschaft und Ausfuhrkontrolle elektronische Systeme einsetzen.</w:t>
      </w:r>
    </w:p>
    <w:p>
      <w:r>
        <w:rPr>
          <w:color w:val="555555"/>
          <w:sz w:val="17"/>
        </w:rPr>
        <w:t xml:space="preserve">Zitiervorschlag: § 55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