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BattDG — Registrierung der Hersteller</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Bevor ein Hersteller Batterien im Geltungsbereich dieses Gesetzes erstmals auf dem Markt bereitstellt, ist er oder im Fall der Bevollmächtigung nach § 40 Absatz 2 Satz 1 sein Bevollmächtigter für die erweiterte Herstellerverantwortung verpflichtet, sich nach Artikel 55 Absatz 2 Unterabsatz 1 Satz 1 der Verordnung (EU) 2023/1542 bei der zuständigen Behörde mit der Marke und der jeweiligen Batteriekategorie nach Artikel 3 Absatz 1 Nummer 9 und 11 bis 14 der Verordnung (EU) 2023/1542 registrieren zu lassen. Die Verpflichtung nach Satz 1 ist abweichend von Artikel 55 Absatz 6 der Verordnung (EU) 2023/1542 auch dann vom Hersteller oder im Fall der Bevollmächtigung nach § 40 Absatz 2 Satz 1 von seinem Bevollmächtigten für die erweiterte Herstellerverantwortung zu erfüllen, wenn eine Organisation für Herstellerverantwortung benannt ist. Die Registrierung ist auf Antrag bei Vorliegen aller Voraussetzungen nach Artikel 55 Absatz 3 bis 5 und 7 der Verordnung (EU) 2023/1542 und nach Absatz 2 zu erteilen. Die Registrierung gilt nach Ablauf von zwölf Wochen ab dem Zeitpunkt, zu dem alle gemäß Artikel 55 Absatz 2 und 3 der Verordnung (EU) 2023/1542 erforderlichen Informationen vorgelegt worden sind, als erteilt, sofern kein Fall des Satzes 6 vorliegt. Auf Verlangen des Antragstellers ist diesem der Eintritt der Registrierungsfiktion nach Satz 4 schriftlich zu bescheinigen und eine Registrierungsnummer zu erteilen. Die Frist nach Artikel 55 Absatz 9 Buchstabe b der Verordnung (EU) 2023/1542 kann mit Zustimmung des Antragstellers verlängert werden.</w:t>
      </w:r>
    </w:p>
    <w:p>
      <w:r>
        <w:t xml:space="preserve">(2) Der Antrag auf Registrierung nach Absatz 1 Satz 3 und die Übermittlung der Angaben nach Artikel 55 Absatz 3 bis 5 und 7 der Verordnung (EU) 2023/1542 erfolgen über das auf der Internetseite der zuständigen Behörde zur Verfügung gestellte elektronische Datenverarbeitungssystem nach Maßgabe der jeweils geltenden Verfahrensanweisung für das elektronische Datenverarbeitungssystem. Die zuständige Behörde kann Ausnahmen von Satz 1 zulassen. Sie kann für die sonstige Kommunikation mit den Herstellern oder mit deren Bevollmächtigten für die erweiterte Herstellerverantwortung die elektronische Übermittlung, eine bestimmte Verschlüsselung sowie die Eröffnung eines Zugangs für die Übermittlung elektronischer Dokumente verlangen. Die Verfahrensanweisung nach Satz 1 und die Anforderungen nach Satz 3 sind auf der Internetseite der zuständigen Behörde zu veröffentlichen.</w:t>
      </w:r>
    </w:p>
    <w:p>
      <w:r>
        <w:rPr>
          <w:color w:val="555555"/>
          <w:sz w:val="17"/>
        </w:rPr>
        <w:t xml:space="preserve">Zitiervorschlag: § 5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