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BattDG — Sprache der Anleitungen, der Informationen und der EU-Konformitätserklärungen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Folgende Unterlagen sind durch die Wirtschaftsakteure in deutscher Sprache abzufassen:</w:t>
      </w:r>
    </w:p>
    <w:p>
      <w:pPr>
        <w:ind w:left="420"/>
      </w:pPr>
      <w:r>
        <w:t xml:space="preserve">1. die Betriebsanleitung und Sicherheitsinformationen nach Artikel 38 Absatz 1 Buchstabe a der Verordnung (EU) 2023/1542 sowie</w:t>
      </w:r>
    </w:p>
    <w:p>
      <w:pPr>
        <w:ind w:left="420"/>
      </w:pPr>
      <w:r>
        <w:t xml:space="preserve">2. die Kontaktangaben nach Artikel 38 Absatz 7 sowie nach Artikel 41 Absatz 3 der Verordnung (EU) 2023/1542, sofern diese nicht in lateinischer Schrift abgefasst sind.</w:t>
      </w:r>
    </w:p>
    <w:p>
      <w:r>
        <w:t xml:space="preserve">(2) Eine unterzeichnete Version der EU-Konformitätserklärung nach Artikel 18 Absatz 2 der Verordnung (EU) 2023/1542 muss nach Wahl des Herstellers entweder in deutscher oder englischer Sprache vorgehalten werden. Sie ist auf Verlangen der zuständigen Behörde in die deutsche Sprache zu übersetzen.</w:t>
      </w:r>
    </w:p>
    <w:p>
      <w:r>
        <w:t xml:space="preserve">(3) Die Händler müssen nach Artikel 42 Absatz 2 Buchstabe c der Verordnung (EU) 2023/1542 überprüfen, ob die Anleitung und die Informationen, die der Batterie beigefügt sind, in deutscher Sprache abgefasst sind.</w:t>
      </w:r>
    </w:p>
    <w:p>
      <w:r>
        <w:rPr>
          <w:color w:val="555555"/>
          <w:sz w:val="17"/>
        </w:rPr>
        <w:t xml:space="preserve">Zitiervorschlag: § 48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