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BattDG — Anträge auf Notifizierung, Erteilung der Befugnis</w:t>
      </w:r>
    </w:p>
    <w:p>
      <w:r>
        <w:rPr>
          <w:color w:val="555555"/>
          <w:sz w:val="18"/>
        </w:rPr>
        <w:t xml:space="preserve">Batterierecht-Durchführungsgesetz</w:t>
      </w:r>
    </w:p>
    <w:p>
      <w:r>
        <w:rPr>
          <w:color w:val="555555"/>
          <w:sz w:val="18"/>
        </w:rPr>
        <w:t xml:space="preserve">Stand: 07.10.2025 (konsolidierte Textfassung, kein amtliches Inkrafttretensdatum)</w:t>
      </w:r>
    </w:p>
    <w:p>
      <w:r>
        <w:t xml:space="preserve">(1) Eine Konformitätsbewertungsstelle kann bei der notifizierenden Behörde die Befugnis beantragen, als notifizierte Stelle tätig werden zu dürfen. Dem Antrag sind die Unterlagen nach Artikel 28 Absatz 2 der Verordnung (EU) 2023/1542 beizufügen. Artikel 28 Absatz 2 der Verordnung (EU) 2023/1542 gilt mit der Maßgabe, dass zwingend eine Akkreditierungsurkunde vorzulegen ist.</w:t>
      </w:r>
    </w:p>
    <w:p>
      <w:r>
        <w:t xml:space="preserve">(2) Die notifizierende Behörde erteilt die Befugnis, als notifizierte Stelle tätig werden zu dürfen, wenn die Konformitätsbewertungsstelle für die jeweiligen Tätigkeiten nach § 45 Absatz 2 akkreditiert ist. Anschließend notifiziert die notifizierende Behörde die Konformitätsbewertungsstelle mit Hilfe des elektronischen Notifizierungsinstruments, das von der Europäischen Kommission entwickelt und verwaltet wird.</w:t>
      </w:r>
    </w:p>
    <w:p>
      <w:r>
        <w:t xml:space="preserve">(3) Die Befugnis nach Absatz 2 ist unter der aufschiebenden Bedingung zu erteilen, dass weder die Europäische Kommission noch die anderen Mitgliedstaaten der Europäischen Union innerhalb von zwei Wochen nach der Notifizierung Einwände erheben. Die Befugnis kann unter weiteren Bedingungen und unter Auflagen oder Widerrufsvorbehalt erteilt werden. Sie kann befristet und mit dem Vorbehalt des Widerrufs sowie dem Vorbehalt nachträglicher Auflagen erteilt werden.</w:t>
      </w:r>
    </w:p>
    <w:p>
      <w:r>
        <w:t xml:space="preserve">(4) Stellen, die der Europäischen Kommission und den anderen Mitgliedstaaten der Europäischen Union aufgrund von Artikel 29 Absatz 2 und 3 der Verordnung (EU) 2023/1542 mitgeteilt worden sind, stehen in dem mitgeteilten Umfang einer notifizierten Stelle gleich.</w:t>
      </w:r>
    </w:p>
    <w:p>
      <w:r>
        <w:rPr>
          <w:color w:val="555555"/>
          <w:sz w:val="17"/>
        </w:rPr>
        <w:t xml:space="preserve">Zitiervorschlag: § 46 BattDG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https://recht.nulegal.eu/gesetze/BattDG/46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