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BattDG — Vollzug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zuständige Behörde soll gegenüber den Organisationen für Herstellerverantwortung die Anordnungen treffen, die erforderlich sind, um die Einhaltung der Vorgaben nach Artikel 58 Absatz 2 der Verordnung (EU) 2023/1542 in Verbindung mit § 8 Absatz 1 bis 3 und § 13 sowie die Einhaltung der Verwertungsanforderungen nach Artikel 70 bis 72 der Verordnung (EU) 2023/1542 und § 23 dauerhaft sicherzustellen.</w:t>
      </w:r>
    </w:p>
    <w:p>
      <w:r>
        <w:t xml:space="preserve">(2) Für den Vollzug dieses Gesetzes sind die § 47 Absatz 1 bis 6 und § 62 des Kreislaufwirtschaftsgesetzes entsprechend anzuwenden. Das Grundrecht auf Unverletzlichkeit der Wohnung (Artikel 13 Absatz 1 des Grundgesetzes) wird insoweit eingeschränkt.</w:t>
      </w:r>
    </w:p>
    <w:p>
      <w:r>
        <w:rPr>
          <w:color w:val="555555"/>
          <w:sz w:val="17"/>
        </w:rPr>
        <w:t xml:space="preserve">Zitiervorschlag: § 41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