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BattDG — Verkehrsverbote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(1) Hersteller dürfen Batterien nur bereitstellen, wenn sie oder im Fall der Bevollmächtigung nach § 40 Absatz 2 Satz 1 der Bevollmächtigte für die erweiterte Herstellerverantwortung nach Artikel 55 Absatz 2 Unterabsatz 1 Satz 1 der Verordnung (EU) 2023/1542 in der Fassung vom 13. Juni 2024 und § 5 Absatz 1 Satz 1 oder Satz 2 ordnungsgemäß registriert sind.</w:t>
      </w:r>
    </w:p>
    <w:p>
      <w:r>
        <w:t xml:space="preserve">(2) Händler dürfen Batterien nur bereitstellen, wenn sie durch Erfüllung der ihnen nach Artikel 62 Absatz 1 der Verordnung (EU) 2023/1542 in der Fassung vom 13. Juni 2024 in Verbindung mit § 14 Absatz 1 Satz 1 und § 18 Absatz 1 Satz 1 obliegenden Rücknahmepflichten sicherstellen, dass der Endnutzer Altbatterien bei diesen zurückgeben kann.</w:t>
      </w:r>
    </w:p>
    <w:p>
      <w:r>
        <w:t xml:space="preserve">(3) Ist ein Hersteller oder im Fall der Bevollmächtigung nach § 40 Absatz 2 Satz 1 dessen Bevollmächtigter für die erweiterte Herstellerverantwortung nicht oder nicht ordnungsgemäß nach § 5 Absatz 1 Satz 1 oder Satz 2 registriert, so dürfen</w:t>
      </w:r>
    </w:p>
    <w:p>
      <w:pPr>
        <w:ind w:left="420"/>
      </w:pPr>
      <w:r>
        <w:t xml:space="preserve">1. Händler die Batterien dieses Herstellers nicht bereitstellen und</w:t>
      </w:r>
    </w:p>
    <w:p>
      <w:pPr>
        <w:ind w:left="420"/>
      </w:pPr>
      <w:r>
        <w:t xml:space="preserve">2. Fulfilment-Dienstleister die Lagerhaltung, Verpackung, Adressierung oder den Versand von Batterien dieses Herstellers nicht vornehmen.</w:t>
      </w:r>
    </w:p>
    <w:p>
      <w:r>
        <w:rPr>
          <w:color w:val="555555"/>
          <w:sz w:val="17"/>
        </w:rPr>
        <w:t xml:space="preserve">Zitiervorschlag: § 4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