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BattDG — Beendigung der Beleihung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Beleihung endet, wenn die Beliehene aufgelöst ist.</w:t>
      </w:r>
    </w:p>
    <w:p>
      <w:r>
        <w:t xml:space="preserve">(2) Die zuständige Behörde kann unbeschadet des § 49 des Verwaltungsverfahrensgesetzes die Beleihung widerrufen, wenn die Beliehene die übertragenen Aufgaben nicht sachgerecht wahrnimmt.</w:t>
      </w:r>
    </w:p>
    <w:p>
      <w:r>
        <w:t xml:space="preserve">(3) Die Beliehene kann die Beendigung der Beleihung jederzeit schriftlich von der zuständigen Behörde verlangen. Dem Begehren der Beliehenen ist innerhalb einer Frist, die zur Übernahme und Fortführung der Aufgabenerfüllung nach § 5 Absatz 1 Satz 6 und Absatz 2 Satz 2 bis 4, § 8 Absatz 1 Satz 3 und 6, Absatz 4 Satz 4 und 6 und Absatz 7 und 9, § 9 Absatz 4, den §§ 31 bis 35 Absatz 1 Satz 3, Absatz 3 und 4, § 36 Absatz 2 und § 41 Absatz 1 durch die zuständige Behörde erforderlich ist, zu entsprechen.</w:t>
      </w:r>
    </w:p>
    <w:p>
      <w:r>
        <w:rPr>
          <w:color w:val="555555"/>
          <w:sz w:val="17"/>
        </w:rPr>
        <w:t xml:space="preserve">Zitiervorschlag: § 39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