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BattDG — Weitere Aufgaben der zuständigen Behörde</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Die zuständige Behörde nimmt folgende Anzeigen, Meldungen und Mitteilungen entgegen:</w:t>
      </w:r>
    </w:p>
    <w:p>
      <w:pPr>
        <w:ind w:left="420"/>
      </w:pPr>
      <w:r>
        <w:t xml:space="preserve">1. die Anzeigen nach § 7 Absatz 2 Satz 3, § 11 Absatz 8 und § 20 Absatz 3,</w:t>
      </w:r>
    </w:p>
    <w:p>
      <w:pPr>
        <w:ind w:left="420"/>
      </w:pPr>
      <w:r>
        <w:t xml:space="preserve">2. die Meldungen nach § 12 Absatz 1 und § 22 Absatz 1 und</w:t>
      </w:r>
    </w:p>
    <w:p>
      <w:pPr>
        <w:ind w:left="420"/>
      </w:pPr>
      <w:r>
        <w:t xml:space="preserve">3. die Mitteilungen nach § 8 Absatz 8 und § 26 Absatz 5.</w:t>
      </w:r>
    </w:p>
    <w:p>
      <w:r>
        <w:t xml:space="preserve">Die zuständige Behörde kann zur Prüfung der Anzeigen nach § 7 Absatz 2 Satz 3, der Meldungen nach § 12 Absatz 1 und der Mitteilungen nach § 26 Absatz 5 die im Einzelfall erforderlichen Unterlagen anfordern. Bei Vorliegen von Anhaltspunkten für eine Unrichtigkeit oder Unvollständigkeit der übermittelten Angaben ist die zuständige Behörde befugt, die Mengenangaben auf der Grundlage der ihr vorliegenden Informationen zu schätzen. Sie kann verlangen, dass die Anzeigen nach § 7 Absatz 2 Satz 3 und die Mitteilungen nach § 26 Absatz 5 durch einen unabhängigen Sachverständigen innerhalb angemessener Frist bestätigt werden. Sie ist berechtigt, für die Bestätigung die Prüfkriterien festzulegen.</w:t>
      </w:r>
    </w:p>
    <w:p>
      <w:r>
        <w:t xml:space="preserve">(2) Die zuständige Behörde veröffentlicht auf ihrer Internetseite die nach § 11 Absatz 8 von den Organisationen für Herstellerverantwortung angezeigten ausgewählten Abfallbewirtschafter sowie das Bundesland und die Postleitzahl des Sitzes des Abfallbewirtschafters. Wird die Auswahl eines Abfallbewirtschafters aufgehoben, löscht die zuständige Behörde auf ihrer Internetseite den Eintrag des betreffenden Abfallbewirtschafters.</w:t>
      </w:r>
    </w:p>
    <w:p>
      <w:r>
        <w:t xml:space="preserve">(3) Nach einer Meldung nach § 22 Absatz 1 berechnet die zuständige Behörde den Verpflichtungssaldo der für die jeweilige Batteriekategorie zugelassenen Organisationen für Herstellerverantwortung. Der Verpflichtungssaldo ergibt sich aus der Differenz zwischen der Gesamtbeteiligungsmenge der jeweiligen Organisation für Herstellerverantwortung für das laufende Kalenderjahr und der von der jeweiligen Organisation für Herstellerverantwortung nach § 26 Absatz 5 mitgeteilten Masse für das laufende Kalenderjahr. Bei der Berechnung des Verpflichtungssaldos soll die zuständige Behörde die Masse der infolge vorgehender Zuweisungen voraussichtlich abgeholten oder abzuholenden Altbatterien der jeweiligen Batteriekategorie und das Ergebnis ihrer Prüfung nach Absatz 1 Satz 2, die Schätzungen nach Absatz 1 Satz 3 sowie die Bestätigungen nach Absatz 1 Satz 4 berücksichtigen.</w:t>
      </w:r>
    </w:p>
    <w:p>
      <w:r>
        <w:t xml:space="preserve">(4) Die Ermittlung der Gesamtbeteiligungsmenge der Organisation für Herstellerverantwortung für das laufende Kalenderjahr erfolgt entsprechend § 13 Absatz 3 und 4 auf der Grundlage der von der jeweiligen Organisation für Herstellerverantwortung nach § 7 Absatz 2 Satz 3 angezeigten oder der nach Absatz 1 Satz 3 geschätzten Beteiligungsmengen je Batteriekategorie.</w:t>
      </w:r>
    </w:p>
    <w:p>
      <w:r>
        <w:t xml:space="preserve">(5) Die zuständige Behörde veröffentlicht die aktuellen Verpflichtungssalden der Organisationen für Herstellerverantwortung nach Absatz 3 je Batteriekategorie auf ihrer Internetseite.</w:t>
      </w:r>
    </w:p>
    <w:p>
      <w:r>
        <w:t xml:space="preserve">(6) Erhält die zuständige Behörde eine Meldung gemäß § 22 Absatz 1, weist sie die Abholung der Organisation für Herstellerverantwortung mit dem höchsten Verpflichtungssaldo der betroffenen Batteriekategorie nach Absatz 3 zu, teilt dem Meldenden die zugewiesene Organisation für Herstellerverantwortung mit und trifft die im Einzelfall erforderlichen Anordnungen zur Sicherstellung der Erfüllung der Pflichten nach § 11 Absatz 1 Nummer 3. Erfolgt die Abholung nicht bis zur von der zuständigen Behörde festgesetzten Frist, gilt eine Nachfrist bis zum Ablauf des folgenden Werktages. Bei der Zuweisung informiert die zuständige Behörde die Organisation für Herstellerverantwortung über Meldungen nach § 22 Absatz 1 Satz 2.</w:t>
      </w:r>
    </w:p>
    <w:p>
      <w:r>
        <w:t xml:space="preserve">(7) Anzeigen, Meldungen und Mitteilungen nach Absatz 1 erfolgen über das auf der Internetseite der zuständigen Behörde zur Verfügung gestellte elektronische Datenverarbeitungssystem nach Maßgabe der jeweils geltenden Verfahrensanweisung für das elektronische Datenverarbeitungssystem. Die zuständige Behörde kann Ausnahmen von Satz 1 zulassen. Sie kann für die sonstige Kommunikation mit den Herstellern oder mit deren Bevollmächtigten die elektronische Übermittlung, eine bestimmte Verschlüsselung sowie die Eröffnung eines Zugangs für die Übermittlung elektronischer Dokumente verlangen. Die Verfahrensanweisung nach Satz 1 und die Anforderungen nach Satz 3 sind auf der Internetseite der zuständigen Behörde zu veröffentlichen.</w:t>
      </w:r>
    </w:p>
    <w:p>
      <w:r>
        <w:rPr>
          <w:color w:val="555555"/>
          <w:sz w:val="17"/>
        </w:rPr>
        <w:t xml:space="preserve">Zitiervorschlag: § 32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