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BattDG — Mitteilungspflichten von Abfallbewirtschaftern, die Altbatterien behandeln, und Recyclingbetreibern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Jeder Abfallbewirtschafter, der Altbatterien behandelt, hat dem Umweltbundesamt jährlich bis zum Ablauf des 30. Juni eine Dokumentation vorzulegen, die Auskunft gibt über</w:t>
      </w:r>
    </w:p>
    <w:p>
      <w:pPr>
        <w:ind w:left="420"/>
      </w:pPr>
      <w:r>
        <w:t xml:space="preserve">1. die Masse an Altbatterien, die von ihm im vorangegangenen Kalenderjahr zwecks Behandlung angenommen wurde,</w:t>
      </w:r>
    </w:p>
    <w:p>
      <w:pPr>
        <w:ind w:left="420"/>
      </w:pPr>
      <w:r>
        <w:t xml:space="preserve">2. die Masse an Altbatterien, die von ihm im vorangegangenen Kalenderjahr zur Wiederverwendung vorbereitet wurde,</w:t>
      </w:r>
    </w:p>
    <w:p>
      <w:pPr>
        <w:ind w:left="420"/>
      </w:pPr>
      <w:r>
        <w:t xml:space="preserve">3. die Masse an Altbatterien, die von ihm im vorangegangenen Kalenderjahr zur Umnutzung vorbereitet wurde, sowie</w:t>
      </w:r>
    </w:p>
    <w:p>
      <w:pPr>
        <w:ind w:left="420"/>
      </w:pPr>
      <w:r>
        <w:t xml:space="preserve">4. die Masse an Altbatterien, die von ihm im vorangegangenen Kalenderjahr einem Recyclingverfahren zugeführt wurde.</w:t>
      </w:r>
    </w:p>
    <w:p>
      <w:r>
        <w:t xml:space="preserve">(2) Jeder Recyclingbetreiber hat dem Umweltbundesamt jährlich bis zum Ablauf des 30. Juni eine Dokumentation vorzulegen, die Auskunft gibt über</w:t>
      </w:r>
    </w:p>
    <w:p>
      <w:pPr>
        <w:ind w:left="420"/>
      </w:pPr>
      <w:r>
        <w:t xml:space="preserve">1. die Masse an Altbatterien, die von ihm im vorangegangenen Kalenderjahr zum Recycling angenommen wurde,</w:t>
      </w:r>
    </w:p>
    <w:p>
      <w:pPr>
        <w:ind w:left="420"/>
      </w:pPr>
      <w:r>
        <w:t xml:space="preserve">2. die erreichten Recyclingeffizienzen nach Artikel 71 in Verbindung mit Anhang XII Teil B der Verordnung (EU) 2023/1542 in der Fassung vom 13. Juni 2024 und</w:t>
      </w:r>
    </w:p>
    <w:p>
      <w:pPr>
        <w:ind w:left="420"/>
      </w:pPr>
      <w:r>
        <w:t xml:space="preserve">3. die erreichten Quoten für die stoffliche Verwertung nach Artikel 71 in Verbindung mit Anhang XII Teil C der Verordnung (EU) 2023/1542 in der Fassung vom 13. Juni 2024.</w:t>
      </w:r>
    </w:p>
    <w:p>
      <w:r>
        <w:t xml:space="preserve">Werden Recyclingverfahren in mehreren Anlagen durchgeführt, so ist der erste Recyclingbetreiber zur Dokumentation nach Satz 1 verpflichtet. Die Betreiber der weiteren Recyclinganlagen stellen zu diesem Zweck dem ersten Recyclingbetreiber die entsprechenden Daten zur Verfügung.</w:t>
      </w:r>
    </w:p>
    <w:p>
      <w:r>
        <w:t xml:space="preserve">(3) Im Fall der Beleihung nach § 37 übermittelt das Umweltbundesamt der Beliehenen nach Erhalt die Dokumentationen der Abfallbewirtschafter, die Altbatterien behandeln, und der Recyclingbetreiber.</w:t>
      </w:r>
    </w:p>
    <w:p>
      <w:r>
        <w:rPr>
          <w:color w:val="555555"/>
          <w:sz w:val="17"/>
        </w:rPr>
        <w:t xml:space="preserve">Zitiervorschlag: § 29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