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BattDG — Mitteilungspflichten öffentlich-rechtlicher Entsorgungsträger</w:t>
      </w:r>
    </w:p>
    <w:p>
      <w:r>
        <w:rPr>
          <w:color w:val="555555"/>
          <w:sz w:val="18"/>
        </w:rPr>
        <w:t xml:space="preserve">Batterierecht-Durchführungsgesetz</w:t>
      </w:r>
    </w:p>
    <w:p>
      <w:r>
        <w:rPr>
          <w:color w:val="555555"/>
          <w:sz w:val="18"/>
        </w:rPr>
        <w:t xml:space="preserve">Stand: 07.10.2025 (konsolidierte Textfassung, kein amtliches Inkrafttretensdatum)</w:t>
      </w:r>
    </w:p>
    <w:p>
      <w:r>
        <w:t xml:space="preserve">Jeder öffentlich-rechtliche Entsorgungsträger hat dem Umweltbundesamt im Fall des § 20 Absatz 2 jährlich bis zum 30. Juni eine Dokumentation vorzulegen, die Auskunft gibt über</w:t>
      </w:r>
    </w:p>
    <w:p>
      <w:pPr>
        <w:ind w:left="420"/>
      </w:pPr>
      <w:r>
        <w:t xml:space="preserve">1. die Masse der von ihm im vorangegangenen Kalenderjahr zurückgenommenen Altbatterien,</w:t>
      </w:r>
    </w:p>
    <w:p>
      <w:pPr>
        <w:ind w:left="420"/>
      </w:pPr>
      <w:r>
        <w:t xml:space="preserve">2. die Masse der von ihm im vorangegangenen Kalenderjahr einer Vorbereitung zur Wiederverwendung zugeführten Altbatterien,</w:t>
      </w:r>
    </w:p>
    <w:p>
      <w:pPr>
        <w:ind w:left="420"/>
      </w:pPr>
      <w:r>
        <w:t xml:space="preserve">3. die Masse der von ihm im vorangegangenen Kalenderjahr einer Vorbereitung zur Umnutzung zugeführten Altbatterien,</w:t>
      </w:r>
    </w:p>
    <w:p>
      <w:pPr>
        <w:ind w:left="420"/>
      </w:pPr>
      <w:r>
        <w:t xml:space="preserve">4. die Masse der von ihm im vorangegangenen Kalenderjahr einer Vorbereitung zum Recycling zugeführten Altbatterien sowie</w:t>
      </w:r>
    </w:p>
    <w:p>
      <w:pPr>
        <w:ind w:left="420"/>
      </w:pPr>
      <w:r>
        <w:t xml:space="preserve">5. die Masse der von ihr im vorangegangenen Kalenderjahr einem Recycling zugeführten Altbatterien.</w:t>
      </w:r>
    </w:p>
    <w:p>
      <w:r>
        <w:t xml:space="preserve">Die Dokumentation nach Satz 1 ist zu untergliedern nach Starter- und Industriebatterien sowie nach chemischen Systemen. Bei den Angaben zu Satz 1 Nummer 2 bis 5 sind in Staaten außerhalb der Europäischen Union ausgeführte und behandelte Altbatterien gesondert auszuweisen. Im Fall der Beleihung nach § 37 übermittelt das Umweltbundesamt der Beliehenen nach Erhalt die Dokumentationen der öffentlich-rechtlichen Entsorgungsträger.</w:t>
      </w:r>
    </w:p>
    <w:p>
      <w:r>
        <w:rPr>
          <w:color w:val="555555"/>
          <w:sz w:val="17"/>
        </w:rPr>
        <w:t xml:space="preserve">Zitiervorschlag: § 28 BattDG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https://recht.nulegal.eu/gesetze/BattDG/28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