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BattDG — Informationspflichten der Händler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Ergänzend zu Artikel 74 Absatz 4 und 5 der Verordnung (EU) 2023/1542 haben Händler, die zur Rücknahme von Altbatterien nach Artikel 62 Absatz 1 der Verordnung (EU) 2023/1542 in der Fassung vom 13. Juni 2024 verpflichtet sind, ihre Kunden durch gut sicht- und lesbare, im unmittelbaren Sichtbereich des Hauptkundenstroms platzierte Schrift- oder Bildtafeln mindestens in deutscher Sprache darauf hinzuweisen, dass</w:t>
      </w:r>
    </w:p>
    <w:p>
      <w:pPr>
        <w:ind w:left="420"/>
      </w:pPr>
      <w:r>
        <w:t xml:space="preserve">1. Altbatterien im Handelsgeschäft unentgeltlich zurückgegeben werden können und</w:t>
      </w:r>
    </w:p>
    <w:p>
      <w:pPr>
        <w:ind w:left="420"/>
      </w:pPr>
      <w:r>
        <w:t xml:space="preserve">2. der Endnutzer zur Rückgabe von Altbatterien gesetzlich verpflichtet ist.</w:t>
      </w:r>
    </w:p>
    <w:p>
      <w:r>
        <w:t xml:space="preserve">(2) Händler, die zur Rücknahme von Altbatterien nach Artikel 62 Absatz 1 der Verordnung (EU) 2023/1542 in der Fassung vom 13. Juni 2024 verpflichtet sind, haben ihre Kunden im Eingangsbereich der Verkaufsstelle durch gut sicht- und lesbare Bildtafeln mindestens im Format DIN A4 im unmittelbaren Sichtbereich des Hauptkundenstroms mit der Kennzeichnung nach § 25 Absatz 4 Satz 1 darauf hinzuweisen, dass Altbatterien in der jeweiligen Verkaufsstelle zurückgegeben werden können.</w:t>
      </w:r>
    </w:p>
    <w:p>
      <w:r>
        <w:t xml:space="preserve">(3) Händler, die Batterien im Wege von Fernabsatzverträgen an Endnutzer abgeben, haben die Informationen nach Artikel 74 Absatz 4 und 5 in Verbindung mit Artikel 74 Absatz 1 und 2 der Verordnung (EU) 2023/1542 in der Fassung vom 13. Juni 2024 und die Hinweise nach den Absätzen 1 und 2 gut sichtbar durch schriftliche und bildliche Hinweise in den von ihnen verwendeten Darstellungsmedien sowie leicht auffindbar auf der Internetseite zu geben oder der Warensendung schriftlich beizufügen.</w:t>
      </w:r>
    </w:p>
    <w:p>
      <w:r>
        <w:rPr>
          <w:color w:val="555555"/>
          <w:sz w:val="17"/>
        </w:rPr>
        <w:t xml:space="preserve">Zitiervorschlag: § 24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