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BattDG — Behandlung und Beseitigung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Ergänzend zu Artikel 70 Absatz 1 der Verordnung (EU) 2023/1542 sind auch Abfälle der Batterieerzeugung gemäß Artikel 70 und 71 der Verordnung (EU) 2023/1542 zu behandeln.</w:t>
      </w:r>
    </w:p>
    <w:p>
      <w:r>
        <w:t xml:space="preserve">(2) Ergänzend zu Artikel 70 der Verordnung (EU) 2023/1542 können Rückstände von zuvor ordnungsgemäß behandelten und recycelten Altbatterien nach dem Stand der Technik gemeinwohlverträglich beseitigt werden.</w:t>
      </w:r>
    </w:p>
    <w:p>
      <w:r>
        <w:rPr>
          <w:color w:val="555555"/>
          <w:sz w:val="17"/>
        </w:rPr>
        <w:t xml:space="preserve">Zitiervorschlag: § 23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