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BattDG — Meldung zur Zuweisung an Organisationen für Herstellerverantwortung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Händler nach § 18, mitwirkende öffentlich-rechtliche Entsorgungsträger nach § 20 und überlassungspflichtige Dritte nach § 21 können der zuständigen Behörde angenommene Altbatterien unter Angabe einer Schätzmenge der abzuholenden Masse zur Zuweisung an eine für die jeweilige Batteriekategorie zugelassene Organisation für Herstellerverantwortung melden, sobald</w:t>
      </w:r>
    </w:p>
    <w:p>
      <w:pPr>
        <w:ind w:left="420"/>
      </w:pPr>
      <w:r>
        <w:t xml:space="preserve">1. für Industriealtbatterien</w:t>
      </w:r>
    </w:p>
    <w:p>
      <w:pPr>
        <w:ind w:left="780"/>
      </w:pPr>
      <w:r>
        <w:t xml:space="preserve">a) Händler eine Abholmasse von 45 Kilogramm erreicht haben oder</w:t>
      </w:r>
    </w:p>
    <w:p>
      <w:pPr>
        <w:ind w:left="780"/>
      </w:pPr>
      <w:r>
        <w:t xml:space="preserve">b) öffentlich-rechtliche Entsorgungsträger und überlassungspflichtige Dritte eine Abholmasse von 90 Kilogramm erreicht haben,</w:t>
      </w:r>
    </w:p>
    <w:p>
      <w:pPr>
        <w:ind w:left="420"/>
      </w:pPr>
      <w:r>
        <w:t xml:space="preserve">2. für Starteraltbatterien</w:t>
      </w:r>
    </w:p>
    <w:p>
      <w:pPr>
        <w:ind w:left="780"/>
      </w:pPr>
      <w:r>
        <w:t xml:space="preserve">a) Händler eine Abholmasse von 90 Kilogramm erreicht haben oder</w:t>
      </w:r>
    </w:p>
    <w:p>
      <w:pPr>
        <w:ind w:left="780"/>
      </w:pPr>
      <w:r>
        <w:t xml:space="preserve">b) öffentlich-rechtliche Entsorgungsträger eine Abholmasse von 180 Kilogramm erreicht haben, und</w:t>
      </w:r>
    </w:p>
    <w:p>
      <w:pPr>
        <w:ind w:left="420"/>
      </w:pPr>
      <w:r>
        <w:t xml:space="preserve">3. für Elektrofahrzeugaltbatterien eine Abholmasse von 200 Kilogramm erreicht wurde.</w:t>
      </w:r>
    </w:p>
    <w:p>
      <w:r>
        <w:t xml:space="preserve">Sofern bei der Abholung besondere Sicherheitsanforderungen zu berücksichtigen sind, ist dies bei der Meldung nach Satz 1 anzugeben.</w:t>
      </w:r>
    </w:p>
    <w:p>
      <w:r>
        <w:t xml:space="preserve">(2) Die Händler nach § 18, mitwirkende öffentlich-rechtliche Entsorgungsträger nach § 20 und überlassungspflichtige Dritte nach § 21 sind verpflichtet, zurückgenommene Industrie-, Starter- und Elektrofahrzeugaltbatterien entsprechend der Zuweisung einer für die jeweilige Batteriekategorie zugelassenen Organisation für Herstellerverantwortung zu überlassen.</w:t>
      </w:r>
    </w:p>
    <w:p>
      <w:r>
        <w:rPr>
          <w:color w:val="555555"/>
          <w:sz w:val="17"/>
        </w:rPr>
        <w:t xml:space="preserve">Zitiervorschlag: § 22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