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BattDG — Überlassungspflichten Dritter</w:t>
      </w:r>
    </w:p>
    <w:p>
      <w:r>
        <w:rPr>
          <w:color w:val="555555"/>
          <w:sz w:val="18"/>
        </w:rPr>
        <w:t xml:space="preserve">Batterierecht-Durchführungsgesetz</w:t>
      </w:r>
    </w:p>
    <w:p>
      <w:r>
        <w:rPr>
          <w:color w:val="555555"/>
          <w:sz w:val="18"/>
        </w:rPr>
        <w:t xml:space="preserve">Stand: 07.10.2025 (konsolidierte Textfassung, kein amtliches Inkrafttretensdatum)</w:t>
      </w:r>
    </w:p>
    <w:p>
      <w:r>
        <w:t xml:space="preserve">(1) Die Betreiber von Behandlungsanlagen, für die die Richtlinie 2012/19/EU in der Fassung vom 4. Juli 2012 gilt, haben bei der Behandlung von Altgeräten anfallende Starter-, Industrie- oder Elektrofahrzeugaltbatterien einer für die jeweilige Batteriekategorie zugelassenen Organisation für Herstellerverantwortung nach § 8 Absatz 1 und 3 oder einem im Rahmen eines Auswahlverfahrens nach Artikel 57 Absatz 8 der Verordnung (EU) 2023/1542 ausgewählten Abfallbewirtschafter zu überlassen. § 18 Absatz 3 Satz 2 gilt entsprechend.</w:t>
      </w:r>
    </w:p>
    <w:p>
      <w:r>
        <w:t xml:space="preserve">(2) Die Betreiber von Behandlungsanlagen, für die die Richtlinie 2000/53/EG in der Fassung vom 18. September 2020 gilt, haben bei der Behandlung von Altfahrzeugen anfallende Starter-, Industrie- oder Elektrofahrzeugaltbatterien einer für die jeweilige Batteriekategorie zugelassenen Organisation für Herstellerverantwortung oder einem im Rahmen eines Auswahlverfahrens nach Artikel 57 Absatz 8 der Verordnung (EU) 2023/1542 ausgewählten Abfallbewirtschafter zu überlassen. § 18 Absatz 3 Satz 2 gilt entsprechend.</w:t>
      </w:r>
    </w:p>
    <w:p>
      <w:r>
        <w:t xml:space="preserve">(3) Wirtschaftsakteure nach Artikel 61 Absatz 1 Satz 2 Buchstabe b der Verordnung (EU) 2023/1542 sind verpflichtet, die bei der Wiederaufarbeitung oder Umnutzung anfallenden Starter-, Industrie- oder Elektrofahrzeugaltbatterien einer für die jeweilige Batteriekategorie zugelassenen Organisation für Herstellerverantwortung oder einem nach Artikel 57 Absatz 8 der Verordnung (EU) 2023/1542 ausgewählten Abfallbewirtschafter zu überlassen. § 18 Absatz 3 Satz 2 gilt entsprechend.</w:t>
      </w:r>
    </w:p>
    <w:p>
      <w:r>
        <w:rPr>
          <w:color w:val="555555"/>
          <w:sz w:val="17"/>
        </w:rPr>
        <w:t xml:space="preserve">Zitiervorschlag: § 21 BattDG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https://recht.nulegal.eu/gesetze/BattDG/21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