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BattDG — Anwendungsbereich des Gesetzes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Dieses Gesetz ist anzuwenden auf Batterien und Altbatterien im Anwendungsbereich der Verordnung (EU) 2023/1542. Es findet keine Anwendung auf Batterien, in den in Artikel 1 Absatz 5 und 6 der Verordnung (EU) 2023/1542 genannten Fällen.</w:t>
      </w:r>
    </w:p>
    <w:p>
      <w:r>
        <w:t xml:space="preserve">(2) Soweit die Verordnung (EU) 2023/1542, dieses Gesetz und die auf Grundlage dieses Gesetzes erlassenen Rechtsverordnungen keine abweichenden Vorschriften enthalten, sind das Kreislaufwirtschaftsgesetz vom 24. Februar 2012 (BGBl. I S. 212), das zuletzt durch Artikel 5 des Gesetzes vom 2. März 2023 (BGBl. 2023 I Nr. 56) geändert worden ist, mit Ausnahme von § 17 Absatz 4 und § 54 des Kreislaufwirtschaftsgesetzes und die aufgrund des Kreislaufwirtschaftsgesetzes oder des bis zum Ablauf des 31. Mai 2012 geltenden Kreislaufwirtschafts- und Abfallgesetzes erlassenen Rechtsverordnungen in der jeweils geltenden Fassung anzuwenden. Die §§ 27, 50 Absatz 3, § 59 Absatz 1 Satz 1 und Absatz 2 des Kreislaufwirtschaftsgesetzes sowie die §§ 60 und 66 des Kreislaufwirtschaftsgesetzes gelten entsprechend.</w:t>
      </w:r>
    </w:p>
    <w:p>
      <w:r>
        <w:t xml:space="preserve">(3) Soweit dieses Gesetz keine abweichenden Vorschriften enthält, ist das Marktüberwachungsgesetz vom 9. Juni 2021 (BGBl. I S. 1723) anzuwenden.</w:t>
      </w:r>
    </w:p>
    <w:p>
      <w:r>
        <w:rPr>
          <w:color w:val="555555"/>
          <w:sz w:val="17"/>
        </w:rPr>
        <w:t xml:space="preserve">Zitiervorschlag: § 2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