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BattDG — Rücknahmepflichten der Händler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Ergänzend zu Artikel 62 Absatz 1 und 2 der Verordnung (EU) 2023/1542 ist jeder Händler verpflichtet, vom Endnutzer Starter-, Industrie- und Elektrofahrzeugaltbatterien nach Satz 2 unabhängig von deren chemischer Zusammensetzung, Marke, Herkunft, Baugröße und Beschaffenheit im Handelsgeschäft oder in dessen Nähe unentgeltlich zurückzunehmen. Die Rücknahmeverpflichtung nach Satz 1 beschränkt sich auf Altbatterien der Batteriekategorie nach Artikel 3 Absatz 1 Nummer 12 bis 14 der Verordnung (EU) 2023/1542, die der Händler als Neubatterie in seinem Sortiment führt oder geführt hat. Satz 1 erstreckt sich nicht auf Produkte mit eingebauten Altbatterien; das Elektro- und Elektronikgerätegesetz und die Altfahrzeug-Verordnung bleiben unberührt.</w:t>
      </w:r>
    </w:p>
    <w:p>
      <w:r>
        <w:t xml:space="preserve">(2) Händler, die Starter-, Industrie- oder Elektrofahrzeugbatterien im Wege von Fernabsatzverträgen an Endnutzer abgeben, haben zur Erfüllung ihrer Pflicht aus Absatz 1 geeignete Rückgabemöglichkeiten in zumutbarer Entfernung zum jeweiligen Endnutzer einzurichten. Artikel 62 Absatz 4 und 5 der Verordnung (EU) 2023/1542 bleibt unberührt.</w:t>
      </w:r>
    </w:p>
    <w:p>
      <w:r>
        <w:t xml:space="preserve">(3) Händler haben die zurückgenommenen Starter-, Industrie- und Elektrofahrzeugaltbatterien nach Artikel 62 Absatz 3 der Verordnung (EU) 2023/1542 einer für die jeweilige Batteriekategorie zugelassenen Organisation für Herstellerverantwortung oder einem im Rahmen eines Auswahlverfahrens nach Artikel 57 Absatz 8 der Verordnung (EU) 2023/1542 ausgewählten Abfallbewirtschafter zu überlassen. Übergibt der Händler die zurückgenommenen Starter-, Industrie- oder Elektrofahrzeugaltbatterien einem ausgewählten Abfallbewirtschafter, so gelten die Anforderungen der Artikel 70 und 71 der Verordnung (EU) 2023/1542 zugunsten des Händlers als erfüllt.</w:t>
      </w:r>
    </w:p>
    <w:p>
      <w:r>
        <w:rPr>
          <w:color w:val="555555"/>
          <w:sz w:val="17"/>
        </w:rPr>
        <w:t xml:space="preserve">Zitiervorschlag: § 18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