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BattDG — Überlassungspflichten Dritter</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Betreiber von Behandlungsanlagen, für die die Richtlinie 2012/19/EU in der Fassung vom 13. März 2024 gilt, haben bei der Behandlung von Altgeräten anfallende Gerätealtbatterien und LV-Altbatterien einer für die jeweilige Batteriekategorie zugelassenen Organisation für Herstellerverantwortung zu überlassen.</w:t>
      </w:r>
    </w:p>
    <w:p>
      <w:r>
        <w:t xml:space="preserve">(2) Die Betreiber von Behandlungsanlagen, für die die Richtlinie 2000/53/EG in der Fassung vom 16. Dezember 2022 gilt, haben bei der Behandlung von Altfahrzeugen anfallende Gerätealtbatterien und LV-Altbatterien einer für die jeweilige Batteriekategorie zugelassenen Organisation für Herstellerverantwortung zu überlassen.</w:t>
      </w:r>
    </w:p>
    <w:p>
      <w:r>
        <w:t xml:space="preserve">(3) Die Bindung eines Betreibers von Behandlungsanlagen an eine Organisation für Herstellerverantwortung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1 und 2 gelten nicht, sofern die Zulassung der Organisation für Herstellerverantwortung für die betreffende Batteriekategorie während der Laufzeit widerrufen oder unwirksam wird.</w:t>
      </w:r>
    </w:p>
    <w:p>
      <w:r>
        <w:rPr>
          <w:color w:val="555555"/>
          <w:sz w:val="17"/>
        </w:rPr>
        <w:t xml:space="preserve">Zitiervorschlag: § 17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