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BattDG — Rücknahmepflichten der Händler</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Ergänzend zu der Rücknahmepflicht nach Artikel 62 Absatz 1 und 2 der Verordnung (EU) 2023/1542 ist jeder Händler verpflichtet, vom Endnutzer Gerätealtbatterien und LV-Altbatterien unabhängig von deren chemischer Zusammensetzung, Marke, Herkunft, Baugröße und Beschaffenheit im Handelsgeschäft oder in unmittelbarer Nähe hierzu unentgeltlich zurückzunehmen. Die Rücknahmeverpflichtung nach Satz 1 beschränkt sich auf Altbatterien der Batteriekategorien nach Artikel 3 Absatz 1 Nummer 9 und 11 der Verordnung (EU) 2023/1542, die der Händler als Neubatterien in seinem Sortiment führt oder geführt hat, sowie auf die Menge an Altbatterien, derer sich private Endnutzer üblicherweise entledigen. Satz 1 erstreckt sich nicht auf Produkte mit eingebauten Altbatterien; das Elektro- und Elektronikgerätegesetz und die Altfahrzeug-Verordnung bleiben unberührt.</w:t>
      </w:r>
    </w:p>
    <w:p>
      <w:r>
        <w:t xml:space="preserve">(2) Händler, die Gerätebatterien und LV-Batterien im Wege von Fernabsatzverträgen an Endnutzer abgeben, haben zur Erfüllung ihrer Pflicht aus Absatz 1 geeignete Rückgabemöglichkeiten in zumutbarer Entfernung zum jeweiligen Endnutzer einzurichten.</w:t>
      </w:r>
    </w:p>
    <w:p>
      <w:r>
        <w:t xml:space="preserve">(3) Die Händler sind verpflichtet, zurückgenommene Gerätealtbatterien und LV-Altbatterien einer für die jeweilige Batteriekategorie zugelassenen Organisation für Herstellerverantwortung zu überlassen. Die Bindung des Händlers an eine Organisation für Herstellerverantwortung erfolgt für mindestens zwölf Monate. Eine Kündigung ist nur zulässig bis drei Monate vor Ablauf der vereinbarten Laufzeit oder, falls keine Laufzeit vereinbart ist, bis drei Monate vor Ablauf der zwölf Monate. Wird die Kündigungsfrist nicht eingehalten oder keine Kündigung erklärt, verlängert sich die Laufzeit um mindestens zwölf weitere Monate. Die Sätze 2 und 3 gelten nicht, sofern die Zulassung der Organisation für Herstellerverantwortung für die betreffende Batteriekategorie während der Laufzeit widerrufen oder unwirksam wird.</w:t>
      </w:r>
    </w:p>
    <w:p>
      <w:r>
        <w:rPr>
          <w:color w:val="555555"/>
          <w:sz w:val="17"/>
        </w:rPr>
        <w:t xml:space="preserve">Zitiervorschlag: § 14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