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BattDG — Wegfall einer Organisation für Herstellerverantwortung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Wird die Zulassung einer Organisation für Herstellerverantwortung für eine bestimmte Kategorie von Batterien nach Artikel 58 Absatz 6 der Verordnung (EU) 2023/1542 oder § 33 Absatz 2 oder 3 widerrufen oder in sonstiger Weise unwirksam, so hat die Organisation für Herstellerverantwortung der zuständigen Behörde unverzüglich die in Artikel 75 Absatz 1 und Absatz 2 auch in Verbindung mit Absatz 4 der Verordnung (EU) 2023/1542 und die in § 26 genannten Informationen für das vorangegangene und laufende Kalenderjahr zu melden.</w:t>
      </w:r>
    </w:p>
    <w:p>
      <w:r>
        <w:t xml:space="preserve">(2) Im Fall des Widerrufs oder der sonstigen Unwirksamkeit der Zulassung einer Organisation für Herstellerverantwortung für Geräte- oder LV-Batterien besteht für die anderen weiterhin zugelassenen Organisationen für Herstellerverantwortung für dieselbe Kategorie von Batterien die Auffangsammelpflicht. Nach der Auffangsammelpflicht müssen die weiterhin zugelassenen Organisationen für Herstellerverantwortung im Verhältnis ihrer Pflichtenwahrnehmungsgrenze in der jeweiligen Kategorie zueinander noch nicht erfüllte Verpflichtungen der weggefallenen Organisation für Herstellerverantwortung entsprechend der Zuweisung der zuständigen Behörde nach § 31 Absatz 6 Satz 1 erfüllen.</w:t>
      </w:r>
    </w:p>
    <w:p>
      <w:r>
        <w:t xml:space="preserve">(3) Im Umfang ihrer erfüllten Auffangsammelpflicht nach Absatz 2 steht den Organisationen für Herstellerverantwortung ein Ausgleichsanspruch gegen die Organisation für Herstellerverantwortung zu, deren Zulassung widerrufen worden oder in sonstiger Weise unwirksam geworden ist. Für die Berechnung des Ausgleichsanspruchs wird das zur Erfüllung der Auffangsammelpflicht nachgewiesene Gewicht an gesammelten Altbatterien mit den Ausgleichssätzen nach § 31 Absatz 7 multipliziert. Maßgeblich sind die Ausgleichssätze im Zeitpunkt des Widerrufs oder der sonstigen Unwirksamkeit der Zulassung einer Organisation für Herstellerverantwortung, aufgrund derer die Auffangsammelpflicht zugewiesen wurde.</w:t>
      </w:r>
    </w:p>
    <w:p>
      <w:r>
        <w:rPr>
          <w:color w:val="555555"/>
          <w:sz w:val="17"/>
        </w:rPr>
        <w:t xml:space="preserve">Zitiervorschlag: § 12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