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BattDG — Berücksichtigung ökologischer Kriterien bei der Beitragsbemessung</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Organisationen für Herstellerverantwortung sind verpflichtet, im Rahmen der Bemessung der finanziellen Beiträge der Hersteller oder im Fall der Bevollmächtigung nach § 40 Absatz 2 Satz 1 der Bevollmächtigten für die erweiterte Herstellerverantwortung Anreize dafür zu schaffen, dass bei der Herstellung von Batterien die Verwendung von gefährlichen Stoffen minimiert oder ganz vermieden wird. Bei der Bemessung der Beiträge sind die Langlebigkeit, die Wiederverwendbarkeit und die Recyclingfähigkeit der Batterie zu berücksichtigen. Bei der Bemessung der Beiträge sollen insbesondere auch folgende Kriterien berücksichtigt werden:</w:t>
      </w:r>
    </w:p>
    <w:p>
      <w:pPr>
        <w:ind w:left="420"/>
      </w:pPr>
      <w:r>
        <w:t xml:space="preserve">1. die Wiederaufladbarkeit sowie die Reparierbarkeit der Batterie,</w:t>
      </w:r>
    </w:p>
    <w:p>
      <w:pPr>
        <w:ind w:left="420"/>
      </w:pPr>
      <w:r>
        <w:t xml:space="preserve">2. der CO2-Fußabdruck nach Artikel 7 der Verordnung (EU) 2023/1542,</w:t>
      </w:r>
    </w:p>
    <w:p>
      <w:pPr>
        <w:ind w:left="420"/>
      </w:pPr>
      <w:r>
        <w:t xml:space="preserve">3. die Verwendung von Rezyklaten nach Artikel 8 der Verordnung (EU) 2023/1542 sowie</w:t>
      </w:r>
    </w:p>
    <w:p>
      <w:pPr>
        <w:ind w:left="420"/>
      </w:pPr>
      <w:r>
        <w:t xml:space="preserve">4. ob die Batterie umgenutzt oder wiederaufgearbeitet oder einer Vorbereitung zur Wiederverwendung oder Umnutzung zugeführt wurde.</w:t>
      </w:r>
    </w:p>
    <w:p>
      <w:r>
        <w:t xml:space="preserve">Der jeweilige Beitrag hat sich dabei an den einzelnen chemischen Zusammensetzungen der Batterien sowie der Batteriekategorie zu bemessen.</w:t>
      </w:r>
    </w:p>
    <w:p>
      <w:r>
        <w:t xml:space="preserve">(2) Jede Organisation für Herstellerverantwortung hat dem Umweltbundesamt alle zwei Jahre bis zum 1. Juni zu berichten, wie sie die Vorgaben nach Absatz 1 bei der Bemessung der Beiträge im vorangegangenen Kalenderjahr umgesetzt hat. Der erste Bericht ist für das Kalenderjahr 2026 vorzulegen. Das Umweltbundesamt prüft die Berichte auf Plausibilität. Es kann verbindliche Vorgaben hinsichtlich der Form der Berichte beschließen und auf ihren Internetseiten veröffentlichen.</w:t>
      </w:r>
    </w:p>
    <w:p>
      <w:r>
        <w:rPr>
          <w:color w:val="555555"/>
          <w:sz w:val="17"/>
        </w:rPr>
        <w:t xml:space="preserve">Zitiervorschlag: § 10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