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BaslÜbkG</w:t>
      </w:r>
    </w:p>
    <w:p>
      <w:r>
        <w:rPr>
          <w:color w:val="555555"/>
          <w:sz w:val="18"/>
        </w:rPr>
        <w:t xml:space="preserve">Zustimmungsgesetz zum Basler Übereinkommen</w:t>
      </w:r>
    </w:p>
    <w:p>
      <w:r>
        <w:rPr>
          <w:color w:val="555555"/>
          <w:sz w:val="18"/>
        </w:rPr>
        <w:t xml:space="preserve">Stand: 10.06.2019 (konsolidierte Textfassung, kein amtliches Inkrafttretensdatum)</w:t>
      </w:r>
    </w:p>
    <w:p>
      <w:r>
        <w:t xml:space="preserve">Die Bundesregierung wird ermächtigt, Änderungen des Basler Übereinkommens sowie von Anlagen und Protokollen zu dem Basler Übereinkommen, die sich ausschließlich auf wissenschaftliche, technische oder verwaltungsmäßige Angelegenheiten beziehen, durch Rechtsverordnung mit Zustimmung des Bundesrates in Kraft zu setzen. Sie kann hierbei insbesondere die Form und den Inhalt der für eine Verbringung beizubringenden Unterlagen und die in Ausführung des Übereinkommens bestehenden Informationspflichten der Länder regeln.</w:t>
      </w:r>
    </w:p>
    <w:p>
      <w:r>
        <w:rPr>
          <w:color w:val="555555"/>
          <w:sz w:val="17"/>
        </w:rPr>
        <w:t xml:space="preserve">Zitiervorschlag: Art 2 BaslÜbkG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https://recht.nulegal.eu/gesetze/Basl%C3%9CbkG/2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