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BaslÜbkG</w:t>
      </w:r>
    </w:p>
    <w:p>
      <w:r>
        <w:rPr>
          <w:color w:val="555555"/>
          <w:sz w:val="18"/>
        </w:rPr>
        <w:t xml:space="preserve">Zustimmungsgesetz zum Basler Übereinkommen</w:t>
      </w:r>
    </w:p>
    <w:p>
      <w:r>
        <w:rPr>
          <w:color w:val="555555"/>
          <w:sz w:val="18"/>
        </w:rPr>
        <w:t xml:space="preserve">Stand: 10.06.2019 (konsolidierte Textfassung, kein amtliches Inkrafttretensdatum)</w:t>
      </w:r>
    </w:p>
    <w:p>
      <w:r>
        <w:t xml:space="preserve">Dem in New York am 23. Oktober 1989 von der Bundesrepublik Deutschland unterzeichneten Basler Übereinkommen vom 22. März 1989 über die Kontrolle der grenzüberschreitenden Verbringung gefährlicher Abfälle und ihrer Entsorgung wird zugestimmt. Das Übereinkommen wird nachstehend mit einer amtlichen deutschen Übersetzung veröffentlicht.</w:t>
      </w:r>
    </w:p>
    <w:p>
      <w:r>
        <w:rPr>
          <w:color w:val="555555"/>
          <w:sz w:val="17"/>
        </w:rPr>
        <w:t xml:space="preserve">Zitiervorschlag: Art 1 BaslÜbkG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https://recht.nulegal.eu/gesetze/Basl%C3%9CbkG/1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