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BarnG (Brandenburg)</w:t>
      </w:r>
    </w:p>
    <w:p>
      <w:r>
        <w:rPr>
          <w:color w:val="555555"/>
          <w:sz w:val="18"/>
        </w:rPr>
        <w:t xml:space="preserve">Barnim-Gesetz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und der Landkreis Barnim sollen der Stadt Bernau, die infolge der Kreisgebietsreform die Eigenschaft als Kreissitz verliert, einen angemessenen Ausgleich verschaffen.</w:t>
      </w:r>
    </w:p>
    <w:p>
      <w:r>
        <w:t xml:space="preserve">(2) Die Stadt Bernau erhält für die Dauer von vier Jahren eine besondere Finanzzuweisung des Landes in Form einer Investitionspauschale. Diese Investitionspauschale darf ausschließlich für Maßnahmen zur Verbesserung der örtlichen Infrastruktur verwendet werden.</w:t>
      </w:r>
    </w:p>
    <w:p>
      <w:r>
        <w:t xml:space="preserve">(3) Die besondere Finanzzuweisung des Landes wird jährlich aus Mitteln des kommunalen Finanzausgleichs gezahlt. Sie besteht aus</w:t>
      </w:r>
    </w:p>
    <w:p>
      <w:r>
        <w:t xml:space="preserve">einem nach Größenklassen gestaffelten jährlichen Sockelbetrag und</w:t>
      </w:r>
    </w:p>
    <w:p>
      <w:r>
        <w:t xml:space="preserve">einem jährlichen Betrag von 20 DM je Einwohner, bezogen auf die Einwohnerzahl vom 30. Juni 1990 ohne die Berücksichtigung späterer Eingemeindungen.</w:t>
      </w:r>
    </w:p>
    <w:p>
      <w:r>
        <w:t xml:space="preserve">(4) Nach den Bestimmungen des Absatzes 3 und beginnend mit dem Haushaltsjahr 1994 erhält die Stadt Bernau eine zusätzliche Investitionspauschale in Höhe von 1 017 520 DM jährlich.</w:t>
      </w:r>
    </w:p>
    <w:p>
      <w:r>
        <w:rPr>
          <w:color w:val="555555"/>
          <w:sz w:val="17"/>
        </w:rPr>
        <w:t xml:space="preserve">Zitiervorschlag: § 3 BarnG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https://recht.nulegal.eu/gesetze/BarnG/3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