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BarnG (Brandenburg)</w:t>
      </w:r>
    </w:p>
    <w:p>
      <w:r>
        <w:rPr>
          <w:color w:val="555555"/>
          <w:sz w:val="18"/>
        </w:rPr>
        <w:t xml:space="preserve">Barnim-Gesetz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4 des Kreisneugliederungsgesetzes aus</w:t>
      </w:r>
    </w:p>
    <w:p>
      <w:r>
        <w:t xml:space="preserve">dem Kreis Bernau</w:t>
      </w:r>
    </w:p>
    <w:p>
      <w:r>
        <w:t xml:space="preserve">und dem Kreis Eberswalde</w:t>
      </w:r>
    </w:p>
    <w:p>
      <w:r>
        <w:t xml:space="preserve">ohne die Gemeinde Bölkendorf</w:t>
      </w:r>
    </w:p>
    <w:p>
      <w:r>
        <w:t xml:space="preserve">sowie den Gemeinden Hohensaaten und Tiefensee (Kreis Bad Freienwalde)</w:t>
      </w:r>
    </w:p>
    <w:p>
      <w:r>
        <w:t xml:space="preserve">gebildete Landkreis führt den Namen "Landkreis Barnim" .</w:t>
      </w:r>
    </w:p>
    <w:p>
      <w:r>
        <w:rPr>
          <w:color w:val="555555"/>
          <w:sz w:val="17"/>
        </w:rPr>
        <w:t xml:space="preserve">Zitiervorschlag: § 1 BarnG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https://recht.nulegal.eu/gesetze/BarnG/1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