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BargeldPrüfV</w:t>
      </w:r>
    </w:p>
    <w:p>
      <w:r>
        <w:rPr>
          <w:color w:val="555555"/>
          <w:sz w:val="18"/>
        </w:rPr>
        <w:t xml:space="preserve">Bargeldprüfungsverordnung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36a Satz 1 bis 3 und 5 des Gesetzes über die Deutsche Bundesbank, der durch Artikel 9 Nummer 3 des Gesetzes vom 22. Dezember 2011 (BGBl. I S. 2959) eingefügt worden ist, in Verbindung mit § 1 der Verordnung zur Übertragung der Verordnungsermächtigung nach § 36a des Gesetzes über die Deutsche Bundesbank vom 9. Juli 2012 (BGBl. I S. 1507) verordnet der Vorstand der Deutschen Bundesbank im Einvernehmen mit dem Bundesministerium der Finanzen:</w:t>
      </w:r>
    </w:p>
    <w:p>
      <w:r>
        <w:rPr>
          <w:color w:val="555555"/>
          <w:sz w:val="17"/>
        </w:rPr>
        <w:t xml:space="preserve">Zitiervorschlag: Eingangsformel BargeldPrüfV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https://recht.nulegal.eu/gesetze/BargeldPr%C3%BCfV/eingangsformel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