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BargeldPrüfV — Inkrafttreten</w:t>
      </w:r>
    </w:p>
    <w:p>
      <w:r>
        <w:rPr>
          <w:color w:val="555555"/>
          <w:sz w:val="18"/>
        </w:rPr>
        <w:t xml:space="preserve">Bargeldprüfungsverordnung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am 1. Januar 2013 in Kraft.</w:t>
      </w:r>
    </w:p>
    <w:p>
      <w:r>
        <w:rPr>
          <w:color w:val="555555"/>
          <w:sz w:val="17"/>
        </w:rPr>
        <w:t xml:space="preserve">Zitiervorschlag: § 4 BargeldPrüfV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https://recht.nulegal.eu/gesetze/BargeldPr%C3%BCfV/4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