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BargeldPrüfV — Berichte nach § 36 Absatz 2 und 3 Satz 1 des Gesetzes über die Deutsche Bundesbank</w:t>
      </w:r>
    </w:p>
    <w:p>
      <w:r>
        <w:rPr>
          <w:color w:val="555555"/>
          <w:sz w:val="18"/>
        </w:rPr>
        <w:t xml:space="preserve">Bargeldprüfungsverordnung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Berichte nach § 36 Absatz 2 und 3 Satz 1 des Gesetzes über die Deutsche Bundesbank müssen mindestens die folgenden Angaben enthalten:</w:t>
      </w:r>
    </w:p>
    <w:p>
      <w:pPr>
        <w:ind w:left="420"/>
      </w:pPr>
      <w:r>
        <w:t xml:space="preserve">1. Name und Anschrift der Stelle, die die falsche oder als falsch verdächtige Banknote oder Münze oder den Gegenstand angehalten hat;</w:t>
      </w:r>
    </w:p>
    <w:p>
      <w:pPr>
        <w:ind w:left="420"/>
      </w:pPr>
      <w:r>
        <w:t xml:space="preserve">2. Name der natürlichen Person, die die falsche oder als falsch verdächtige Banknote oder Münze oder den Gegenstand angehalten hat;</w:t>
      </w:r>
    </w:p>
    <w:p>
      <w:pPr>
        <w:ind w:left="420"/>
      </w:pPr>
      <w:r>
        <w:t xml:space="preserve">3. Ort und Zeitpunkt des Anhaltens der falschen oder als falsch verdächtigen Banknote oder Münze oder des Gegenstandes;</w:t>
      </w:r>
    </w:p>
    <w:p>
      <w:pPr>
        <w:ind w:left="420"/>
      </w:pPr>
      <w:r>
        <w:t xml:space="preserve">4. Einzelheiten des Ablaufs der Feststellung;</w:t>
      </w:r>
    </w:p>
    <w:p>
      <w:pPr>
        <w:ind w:left="420"/>
      </w:pPr>
      <w:r>
        <w:t xml:space="preserve">5. Stückelung der falschen oder als falsch verdächtigen Banknote oder Münze oder des Gegenstandes;</w:t>
      </w:r>
    </w:p>
    <w:p>
      <w:pPr>
        <w:ind w:left="420"/>
      </w:pPr>
      <w:r>
        <w:t xml:space="preserve">6. bei Banknoten die Notennummer;</w:t>
      </w:r>
    </w:p>
    <w:p>
      <w:pPr>
        <w:ind w:left="420"/>
      </w:pPr>
      <w:r>
        <w:t xml:space="preserve">7. Namen und Anschrift sämtlicher bekannter Vorbesitzer der falschen oder als falsch verdächtigen Banknote oder Münze oder des Gegenstandes und</w:t>
      </w:r>
    </w:p>
    <w:p>
      <w:pPr>
        <w:ind w:left="420"/>
      </w:pPr>
      <w:r>
        <w:t xml:space="preserve">8. bei Einzahlung über einen Einzahlungsautomaten, einen Ein- und Auszahlungsautomaten oder einen kombinierten Einzahlungsautomaten</w:t>
      </w:r>
    </w:p>
    <w:p>
      <w:pPr>
        <w:ind w:left="780"/>
      </w:pPr>
      <w:r>
        <w:t xml:space="preserve">a) die Bankleitzahl des kontoführenden Instituts und die Kontonummer oder</w:t>
      </w:r>
    </w:p>
    <w:p>
      <w:pPr>
        <w:ind w:left="780"/>
      </w:pPr>
      <w:r>
        <w:t xml:space="preserve">b) die Internationale Bankkontonummer (IBAN)</w:t>
      </w:r>
    </w:p>
    <w:p>
      <w:pPr>
        <w:ind w:left="420"/>
      </w:pPr>
      <w:r>
        <w:t xml:space="preserve">des Kontos, auf das die falsche oder als falsch verdächtige Banknote oder Münze oder der Gegenstand eingezahlt werden sollte.</w:t>
      </w:r>
    </w:p>
    <w:p>
      <w:r>
        <w:rPr>
          <w:color w:val="555555"/>
          <w:sz w:val="17"/>
        </w:rPr>
        <w:t xml:space="preserve">Zitiervorschlag: § 2 BargeldPrüfV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https://recht.nulegal.eu/gesetze/BargeldPr%C3%BCfV/2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