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BankkflAusbV — Prüfungsbereich Kunden beraten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Kunden beraten hat der Prüfling nachzuweisen, dass er in der Lage ist,</w:t>
      </w:r>
    </w:p>
    <w:p>
      <w:pPr>
        <w:ind w:left="420"/>
      </w:pPr>
      <w:r>
        <w:t xml:space="preserve">1. Beratungsgespräche ganzheitlich, systematisch, situationsgerecht und zielorientiert zu führen,</w:t>
      </w:r>
    </w:p>
    <w:p>
      <w:pPr>
        <w:ind w:left="420"/>
      </w:pPr>
      <w:r>
        <w:t xml:space="preserve">2. sich kundenorientiert zu verhalten,</w:t>
      </w:r>
    </w:p>
    <w:p>
      <w:pPr>
        <w:ind w:left="420"/>
      </w:pPr>
      <w:r>
        <w:t xml:space="preserve">3. analoge oder digitale vertriebs- und beratungsunterstützende Hilfsmittel einzusetzen,</w:t>
      </w:r>
    </w:p>
    <w:p>
      <w:pPr>
        <w:ind w:left="420"/>
      </w:pPr>
      <w:r>
        <w:t xml:space="preserve">4. Kunden und Kundinnen über Nutzen und Konditionen von Bankleistungen zu informieren sowie rechtliche Regelungen einzuhalten,</w:t>
      </w:r>
    </w:p>
    <w:p>
      <w:pPr>
        <w:ind w:left="420"/>
      </w:pPr>
      <w:r>
        <w:t xml:space="preserve">5. auf Kundenfragen und -einwände einzugehen,</w:t>
      </w:r>
    </w:p>
    <w:p>
      <w:pPr>
        <w:ind w:left="420"/>
      </w:pPr>
      <w:r>
        <w:t xml:space="preserve">6. über den Gesprächsanlass hinausgehende Kundenbedarfe zu erkennen und anzusprechen,</w:t>
      </w:r>
    </w:p>
    <w:p>
      <w:pPr>
        <w:ind w:left="420"/>
      </w:pPr>
      <w:r>
        <w:t xml:space="preserve">7. fachliche Hintergründe und Zusammenhänge zu berücksichtigen sowie</w:t>
      </w:r>
    </w:p>
    <w:p>
      <w:pPr>
        <w:ind w:left="420"/>
      </w:pPr>
      <w:r>
        <w:t xml:space="preserve">8. Gespräche kundenorientiert abzuschließen.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Konten führen,</w:t>
      </w:r>
    </w:p>
    <w:p>
      <w:pPr>
        <w:ind w:left="420"/>
      </w:pPr>
      <w:r>
        <w:t xml:space="preserve">2. Anschaffungen finanzieren,</w:t>
      </w:r>
    </w:p>
    <w:p>
      <w:pPr>
        <w:ind w:left="420"/>
      </w:pPr>
      <w:r>
        <w:t xml:space="preserve">3. Vermögen aufbauen,</w:t>
      </w:r>
    </w:p>
    <w:p>
      <w:pPr>
        <w:ind w:left="420"/>
      </w:pPr>
      <w:r>
        <w:t xml:space="preserve">4. Risiken absichern und</w:t>
      </w:r>
    </w:p>
    <w:p>
      <w:pPr>
        <w:ind w:left="420"/>
      </w:pPr>
      <w:r>
        <w:t xml:space="preserve">5. Baufinanzierungsvorhaben im Privatkundengeschäft begleiten.</w:t>
      </w:r>
    </w:p>
    <w:p>
      <w:r>
        <w:t xml:space="preserve">(3) Mit dem Prüfling wird ein Beratungsgespräch als Gesprächssimulation geführt.</w:t>
      </w:r>
    </w:p>
    <w:p>
      <w:r>
        <w:t xml:space="preserve">(4) Für die Gesprächssimulation stellt der Prüfungsausschuss dem Prüfling zwei praxisbezogene Aufgaben aus unterschiedlichen Tätigkeiten nach Absatz 2 zur Auswahl. Bei den zur Auswahl gestellten Aufgaben ist eine Kombination von Tätigkeiten nach Absatz 2 Nummer 1 und 3 oder 2 und 5 nicht zulässig. Der Prüfling hat eine der Aufgaben auszuwählen. Für die Auswahl der Aufgabe und die Vorbereitung auf die Gesprächssimulation stehen ihm insgesamt 15 Minuten zur Verfügung.</w:t>
      </w:r>
    </w:p>
    <w:p>
      <w:r>
        <w:t xml:space="preserve">(5) Die Gesprächssimulation dauert 30 Minuten.</w:t>
      </w:r>
    </w:p>
    <w:p>
      <w:r>
        <w:rPr>
          <w:color w:val="555555"/>
          <w:sz w:val="17"/>
        </w:rPr>
        <w:t xml:space="preserve">Zitiervorschlag: § 13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