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BahnVorschrAnwG</w:t>
      </w:r>
    </w:p>
    <w:p>
      <w:r>
        <w:rPr>
          <w:color w:val="555555"/>
          <w:sz w:val="18"/>
        </w:rPr>
        <w:t xml:space="preserve">Gesetz betreffend die Anwendung landesgesetzlicher Vorschriften über Bahneinheiten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Reichsregierung hat das folgende Gesetz beschlossen, das hiermit verkündet wird.</w:t>
      </w:r>
    </w:p>
    <w:p>
      <w:r>
        <w:rPr>
          <w:color w:val="555555"/>
          <w:sz w:val="17"/>
        </w:rPr>
        <w:t xml:space="preserve">Zitiervorschlag: Eingangsformel BahnVorschrAnwG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https://recht.nulegal.eu/gesetze/BahnVorschrAnwG/eingangsformel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