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BahnG</w:t>
      </w:r>
    </w:p>
    <w:p>
      <w:r>
        <w:rPr>
          <w:color w:val="555555"/>
          <w:sz w:val="18"/>
        </w:rPr>
        <w:t xml:space="preserve">Gesetz über Maßnahmen zur Aufrechterhaltung des Betriebs von Bahnunternehmen des öffentlichen 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erläßt mit Zustimmung des Bundesrates die zur Durchführung des Gesetzes erforderlichen Verwaltungsvorschriften.</w:t>
      </w:r>
    </w:p>
    <w:p>
      <w:r>
        <w:rPr>
          <w:color w:val="555555"/>
          <w:sz w:val="17"/>
        </w:rPr>
        <w:t xml:space="preserve">Zitiervorschlag: § 7 BahnG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https://recht.nulegal.eu/gesetze/BahnG/7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