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BahnG</w:t>
      </w:r>
    </w:p>
    <w:p>
      <w:r>
        <w:rPr>
          <w:color w:val="555555"/>
          <w:sz w:val="18"/>
        </w:rPr>
        <w:t xml:space="preserve">Gesetz über Maßnahmen zur Aufrechterhaltung des Betriebs von Bahnunternehmen des öffentlichen 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Aufsichtsbehörde im Sinne dieses Gesetzes ist die für die Aufsicht zuständige Landesverkehrsbehörde.</w:t>
      </w:r>
    </w:p>
    <w:p>
      <w:r>
        <w:t xml:space="preserve">(2) Berührt eine Eisenbahn das Gebiet mehrerer Länder, so trifft die nach § 5 des Allgemeinen Eisenbahngesetzes vom 27. Dezember 1993 (BGBl. I S. 2378, 2396) zuständige Aufsichtsbehörde ihre Entscheidungen im Einvernehmen mit den Aufsichtsbehörden der mitbeteiligten Länder. Das gleiche gilt, wenn der Bahneigentümer in anderen Ländern weitere Eisenbahnen betreibt.</w:t>
      </w:r>
    </w:p>
    <w:p>
      <w:r>
        <w:rPr>
          <w:color w:val="555555"/>
          <w:sz w:val="17"/>
        </w:rPr>
        <w:t xml:space="preserve">Zitiervorschlag: § 5 BahnG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https://recht.nulegal.eu/gesetze/BahnG/5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