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BahnG</w:t>
      </w:r>
    </w:p>
    <w:p>
      <w:r>
        <w:rPr>
          <w:color w:val="555555"/>
          <w:sz w:val="18"/>
        </w:rPr>
        <w:t xml:space="preserve">Gesetz über Maßnahmen zur Aufrechterhaltung des Betriebs von Bahnunternehmen des öffentlichen Verkehrs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Verwertung verpfändeter oder zur Sicherung übereigneter Fahrbetriebsmittel von Bahnunternehmen des öffentlichen Verkehrs ist bis zum Erlöschen der für das Bahnunternehmen erteilten Betriebsgenehmigung nur mit Zustimmung der Aufsichtsbehörde zulässig.</w:t>
      </w:r>
    </w:p>
    <w:p>
      <w:r>
        <w:t xml:space="preserve">(2) Für die Zwangsvollstreckung in Fahrbetriebsmittel bewendet es bei den Vorschriften des Gesetzes betreffend die Unzulässigkeit der Pfändung von Eisenbahnfahrbetriebsmitteln in der im Bundesgesetzblatt Teil III, Gliederungsnummer 310-11, veröffentlichten bereinigten Fassung, das durch Artikel 19 des Gesetzes vom 5. Oktober 1994 (BGBl. I S. 2911) geändert worden ist.</w:t>
      </w:r>
    </w:p>
    <w:p>
      <w:r>
        <w:rPr>
          <w:color w:val="555555"/>
          <w:sz w:val="17"/>
        </w:rPr>
        <w:t xml:space="preserve">Zitiervorschlag: § 4 BahnG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https://recht.nulegal.eu/gesetze/BahnG/4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