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BahnG</w:t>
      </w:r>
    </w:p>
    <w:p>
      <w:r>
        <w:rPr>
          <w:color w:val="555555"/>
          <w:sz w:val="18"/>
        </w:rPr>
        <w:t xml:space="preserve">Gesetz über Maßnahmen zur Aufrechterhaltung des Betriebs von Bahnunternehmen des öffentlichen Verkehrs</w:t>
      </w:r>
    </w:p>
    <w:p>
      <w:r>
        <w:rPr>
          <w:color w:val="555555"/>
          <w:sz w:val="18"/>
        </w:rPr>
        <w:t xml:space="preserve">Stand: 10.06.2019 (konsolidierte Textfassung, kein amtliches Inkrafttretensdatum)</w:t>
      </w:r>
    </w:p>
    <w:p>
      <w:r>
        <w:t xml:space="preserve">(1) Die Zwangsversteigerung unbeweglicher Gegenstände, die dem Betrieb eines Bahnunternehmens des öffentlichen Verkehrs gewidmet sind, darf bis zum Erlöschen der für das Bahnunternehmen erteilten Betriebsgenehmigung nur mit Zustimmung der Aufsichtsbehörde durchgeführt werden. Bis zum Erlöschen der Betriebsgenehmigung oder bis zur Erteilung der Zustimmung ist die Zwangsversteigerung, auch wenn sie nach Inkrafttreten dieses Gesetzes angeordnet wird, einstweilen eingestellt.</w:t>
      </w:r>
    </w:p>
    <w:p>
      <w:r>
        <w:t xml:space="preserve">(2) Als dem Betrieb des Bahnunternehmens gewidmete unbewegliche Gegenstände gelten der Bahnkörper und die übrigen Grundstücke, die dauernd unmittelbar oder mittelbar den Zwecken des Bahnunternehmens zu dienen bestimmt sind.</w:t>
      </w:r>
    </w:p>
    <w:p>
      <w:r>
        <w:t xml:space="preserve">(3) Ist eine Zwangsversteigerung gemäß Absatz 1 einstweilen eingestellt, so beginnt die in § 31 Abs. 2 des Zwangsversteigerungsgesetzes vorgesehene Frist mit dem Zeitpunkt, in dem die Einstellung nach Absatz 1 dieses Paragraphen endet.</w:t>
      </w:r>
    </w:p>
    <w:p>
      <w:r>
        <w:t xml:space="preserve">(4) Enthalten landesgesetzliche Vorschriften über die Behandlung der einem Bahnunternehmen des öffentlichen Verkehrs gewidmeten Grundstücke und sonstiger Vermögensgegenstände als Bahneinheit besondere Bestimmungen für die Befriedigung aus dieser Bahneinheit, so richtet sich die Vollstreckung in unbewegliche Gegenstände, die dem Betrieb eines Bahnunternehmens gewidmet sind, nach diesen landesgesetzlichen Vorschriften.</w:t>
      </w:r>
    </w:p>
    <w:p>
      <w:r>
        <w:rPr>
          <w:color w:val="555555"/>
          <w:sz w:val="17"/>
        </w:rPr>
        <w:t xml:space="preserve">Zitiervorschlag: § 3 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https://recht.nulegal.eu/gesetze/BahnG/3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