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BahnG</w:t>
      </w:r>
    </w:p>
    <w:p>
      <w:r>
        <w:rPr>
          <w:color w:val="555555"/>
          <w:sz w:val="18"/>
        </w:rPr>
        <w:t xml:space="preserve">Gesetz über Maßnahmen zur Aufrechterhaltung des Betriebs von Bahnunternehmen des öffentlichen 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Insolvenzverfahren über das Vermögen eines Bahneigentümers, der Bahnunternehmen des öffentlichen Verkehrs betreibt, kann die nach § 160 der Insolvenzordnung erforderliche Zustimmung des Gläubigerausschusses oder der Gläubigerversammlung auf Antrag des Insolvenzverwalters oder des Sachwalters durch die Aufsichtsbehörde ersetzt werden, wenn</w:t>
      </w:r>
    </w:p>
    <w:p>
      <w:pPr>
        <w:ind w:left="420"/>
      </w:pPr>
      <w:r>
        <w:t xml:space="preserve">1. einzelne oder alle Bahnunternehmen freihändig veräußert werden sollen,</w:t>
      </w:r>
    </w:p>
    <w:p>
      <w:pPr>
        <w:ind w:left="420"/>
      </w:pPr>
      <w:r>
        <w:t xml:space="preserve">2. Darlehen zur Fortführung des Betriebs aufgenommen werden sollen.</w:t>
      </w:r>
    </w:p>
    <w:p>
      <w:r>
        <w:rPr>
          <w:color w:val="555555"/>
          <w:sz w:val="17"/>
        </w:rPr>
        <w:t xml:space="preserve">Zitiervorschlag: § 2 BahnG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https://recht.nulegal.eu/gesetze/BahnG/2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