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BZollVÜV</w:t>
      </w:r>
    </w:p>
    <w:p>
      <w:r>
        <w:rPr>
          <w:color w:val="555555"/>
          <w:sz w:val="18"/>
        </w:rPr>
        <w:t xml:space="preserve">Verordnung über die Übertragung von Hoheitsaufgaben der Bundeszollverwaltung auf die Eisenbahnen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19 Abs. 1 des Zollverwaltungsgesetzes vom 21. Dezember 1992 (BGBl. I S. 2125), der durch Artikel 6 Abs. 60 des Gesetzes vom 27. Dezember 1993 (BGBl. I S. 2378) geändert worden ist, in Verbindung mit § 1 Abs. 2 des Deutsche Bahn Gründungsgesetzes vom 27. Dezember 1993 (BGBl. I S. 2378, 2386) verordnet das Bundesministerium der Finanzen:</w:t>
      </w:r>
    </w:p>
    <w:p>
      <w:r>
        <w:rPr>
          <w:color w:val="555555"/>
          <w:sz w:val="17"/>
        </w:rPr>
        <w:t xml:space="preserve">Zitiervorschlag: Eingangsformel BZollVÜV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https://recht.nulegal.eu/gesetze/BZollV%C3%9CV/eingangsformel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