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BZgAZustAnO</w:t>
      </w:r>
    </w:p>
    <w:p>
      <w:r>
        <w:rPr>
          <w:color w:val="555555"/>
          <w:sz w:val="18"/>
        </w:rPr>
        <w:t xml:space="preserve">Anordnung zur Übertragung von Zuständigkeiten für den Erlass von Widerspruchsbescheiden und die Vertretung des Dienstherrn bei Klagen von Beschäftigten der Bundeszentrale für gesundheitliche Aufklärung in Angelegenheiten nach dem Bundesreisekostengesetz und dem Bundesumzugskostengesetz einschließlich der hierzu ergangenen Trennungsgeldverordnung</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wird dem Bundesverwaltungsamt für Beschäftigte der Bundeszentrale für gesundheitliche Aufklärung die Befugnis übertragen, über Widersprüche gegen Verwaltungsakte sowie die Ablehnung von Ansprüchen in Angelegenheiten nach dem Bundesreisekostengesetz und dem Bundesumzugskostengesetz einschließlich der hierzu ergangenen Trennungsgeldverordnung zu entscheiden.</w:t>
      </w:r>
    </w:p>
    <w:p>
      <w:r>
        <w:rPr>
          <w:color w:val="555555"/>
          <w:sz w:val="17"/>
        </w:rPr>
        <w:t xml:space="preserve">Zitiervorschlag: I. BZgAZustAnO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https://recht.nulegal.eu/gesetze/BZgAZustAnO/i.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