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BZVMdF (Brandenburg) — Übergangsvorschrift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bereits anhängigen</w:t>
      </w:r>
    </w:p>
    <w:p>
      <w:r>
        <w:t xml:space="preserve">Klageverfahren in beamtenrechtlichen Angelegenheiten bleibt für die Vertretung</w:t>
      </w:r>
    </w:p>
    <w:p>
      <w:r>
        <w:t xml:space="preserve">des Landes vor den Gerichten der Verwaltungsgerichtsbarkeit die bisher</w:t>
      </w:r>
    </w:p>
    <w:p>
      <w:r>
        <w:t xml:space="preserve">bearbeitende Stelle weiter zuständig.</w:t>
      </w:r>
    </w:p>
    <w:p>
      <w:r>
        <w:rPr>
          <w:color w:val="555555"/>
          <w:sz w:val="17"/>
        </w:rPr>
        <w:t xml:space="preserve">Zitiervorschlag: § 7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