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BZVMdF (Brandenburg) — Vertretung bei Klagen aus dem Beamtenverhältnis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</w:t>
      </w:r>
    </w:p>
    <w:p>
      <w:r>
        <w:t xml:space="preserve">vor den Gerichten der Verwaltungsgerichtsbarkeit wird auf die in § 1 Absatz 1</w:t>
      </w:r>
    </w:p>
    <w:p>
      <w:r>
        <w:t xml:space="preserve">bis 3 genannten Behörden und Einrichtungen übertragen, soweit diese selbst über</w:t>
      </w:r>
    </w:p>
    <w:p>
      <w:r>
        <w:t xml:space="preserve">den Widerspruch zu entscheiden haben. Im Übrigen, insbesondere bei</w:t>
      </w:r>
    </w:p>
    <w:p>
      <w:r>
        <w:t xml:space="preserve">Disziplinarsachen, verbleibt die Vertretungsbefugnis beim Ministerium der</w:t>
      </w:r>
    </w:p>
    <w:p>
      <w:r>
        <w:t xml:space="preserve">Finanzen. Die Sätze 1 und 2 gelten entsprechend für die Verfahren auf</w:t>
      </w:r>
    </w:p>
    <w:p>
      <w:r>
        <w:t xml:space="preserve">einstweiligen Rechtsschutz nach der Verwaltungsgerichtsordnung.</w:t>
      </w:r>
    </w:p>
    <w:p>
      <w:r>
        <w:rPr>
          <w:color w:val="555555"/>
          <w:sz w:val="17"/>
        </w:rPr>
        <w:t xml:space="preserve">Zitiervorschlag: § 6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