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BZVMdF (Brandenburg) — Allgemeine Zuständigkeiten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§ 1 Absatz 1</w:t>
      </w:r>
    </w:p>
    <w:p>
      <w:r>
        <w:t xml:space="preserve">und 3 genannten Behörden und Einrichtungen sind bei Beamten des mittleren und</w:t>
      </w:r>
    </w:p>
    <w:p>
      <w:r>
        <w:t xml:space="preserve">gehobenen Dienstes, die in § 1 Absatz 2 genannte Einrichtung bei Beamten des</w:t>
      </w:r>
    </w:p>
    <w:p>
      <w:r>
        <w:t xml:space="preserve">mittleren, gehobenen und höheren Dienstes – mit Ausnahme der Geschäftsführung –</w:t>
      </w:r>
    </w:p>
    <w:p>
      <w:r>
        <w:t xml:space="preserve">zuständig für:</w:t>
      </w:r>
    </w:p>
    <w:p>
      <w:r>
        <w:t xml:space="preserve">die Entscheidungen</w:t>
      </w:r>
    </w:p>
    <w:p>
      <w:r>
        <w:t xml:space="preserve">über die Versagung der Aussagegenehmigung gemäß § 56 Absatz 1 Satz 2 und 3 des</w:t>
      </w:r>
    </w:p>
    <w:p>
      <w:r>
        <w:t xml:space="preserve">Landesbeamtengesetzes; die Versagung der Aussagegenehmigung bedarf der</w:t>
      </w:r>
    </w:p>
    <w:p>
      <w:r>
        <w:t xml:space="preserve">vorherigen Zustimmung des Ministeriums der Finanzen,</w:t>
      </w:r>
    </w:p>
    <w:p>
      <w:r>
        <w:t xml:space="preserve">die Entscheidungen auf</w:t>
      </w:r>
    </w:p>
    <w:p>
      <w:r>
        <w:t xml:space="preserve">dem Gebiet des Nebentätigkeitsrechts gemäß den §§ 83 bis 89 des</w:t>
      </w:r>
    </w:p>
    <w:p>
      <w:r>
        <w:t xml:space="preserve">Landesbeamtengesetzes,</w:t>
      </w:r>
    </w:p>
    <w:p>
      <w:r>
        <w:t xml:space="preserve">die Untersagung einer</w:t>
      </w:r>
    </w:p>
    <w:p>
      <w:r>
        <w:t xml:space="preserve">Beschäftigung oder Erwerbstätigkeit nach Beendigung des Beamtenverhältnisses</w:t>
      </w:r>
    </w:p>
    <w:p>
      <w:r>
        <w:t xml:space="preserve">gemäß § 92 Absatz 2 des Landesbeamtengesetzes in Verbindung mit § 41 Satz 2 des</w:t>
      </w:r>
    </w:p>
    <w:p>
      <w:r>
        <w:t xml:space="preserve">Beamtenstatusgesetzes,</w:t>
      </w:r>
    </w:p>
    <w:p>
      <w:r>
        <w:t xml:space="preserve">die Kürzung der</w:t>
      </w:r>
    </w:p>
    <w:p>
      <w:r>
        <w:t xml:space="preserve">Anwärterbezüge gemäß § 66 Absatz 1 des Bundesbesoldungsgesetzes,</w:t>
      </w:r>
    </w:p>
    <w:p>
      <w:r>
        <w:t xml:space="preserve">die Entscheidungen</w:t>
      </w:r>
    </w:p>
    <w:p>
      <w:r>
        <w:t xml:space="preserve">gemäß § 9 Absatz 4 Satz 3 der Laufbahnverordnung,</w:t>
      </w:r>
    </w:p>
    <w:p>
      <w:r>
        <w:t xml:space="preserve">die Anerkennung des</w:t>
      </w:r>
    </w:p>
    <w:p>
      <w:r>
        <w:t xml:space="preserve">Urlaubs gemäß § 2 Absatz 3 Satz 2 der Erholungsurlaubs- und</w:t>
      </w:r>
    </w:p>
    <w:p>
      <w:r>
        <w:t xml:space="preserve">Dienstbefreiungsverordnung,</w:t>
      </w:r>
    </w:p>
    <w:p>
      <w:r>
        <w:t xml:space="preserve">die Entscheidungen</w:t>
      </w:r>
    </w:p>
    <w:p>
      <w:r>
        <w:t xml:space="preserve">gemäß § 8 Absatz 1 der Verordnung über die Gewährung von Jubiläumszuwendungen an</w:t>
      </w:r>
    </w:p>
    <w:p>
      <w:r>
        <w:t xml:space="preserve">Beamte und Richter des Bundes,</w:t>
      </w:r>
    </w:p>
    <w:p>
      <w:r>
        <w:t xml:space="preserve">die Entscheidung und</w:t>
      </w:r>
    </w:p>
    <w:p>
      <w:r>
        <w:t xml:space="preserve">den Bescheiderlass hinsichtlich der Anweisung des dienstlichen Wohnsitzes gemäß</w:t>
      </w:r>
    </w:p>
    <w:p>
      <w:r>
        <w:t xml:space="preserve">§ 15 Absatz 2 Satz 2 des Bundesbesoldungsgesetzes.</w:t>
      </w:r>
    </w:p>
    <w:p>
      <w:r>
        <w:t xml:space="preserve">(2) Die</w:t>
      </w:r>
    </w:p>
    <w:p>
      <w:r>
        <w:t xml:space="preserve">Zustimmungsbefugnis gemäß § 57 Absatz 1 Satz 2 des Landesbeamtengesetzes in</w:t>
      </w:r>
    </w:p>
    <w:p>
      <w:r>
        <w:t xml:space="preserve">Verbindung mit § 42 Absatz 2 des Beamtenstatusgesetzes wird auf die</w:t>
      </w:r>
    </w:p>
    <w:p>
      <w:r>
        <w:t xml:space="preserve">nachgeordnete Behörde oder Einrichtung übertragen, in der der Beamte tätig ist</w:t>
      </w:r>
    </w:p>
    <w:p>
      <w:r>
        <w:t xml:space="preserve">oder zuletzt tätig war.</w:t>
      </w:r>
    </w:p>
    <w:p>
      <w:r>
        <w:rPr>
          <w:color w:val="555555"/>
          <w:sz w:val="17"/>
        </w:rPr>
        <w:t xml:space="preserve">Zitiervorschlag: § 2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