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BZVMWFK (Brandenburg) — Vertretung bei Klagen aus dem Beamtenverhältnis</w:t>
      </w:r>
    </w:p>
    <w:p>
      <w:r>
        <w:rPr>
          <w:color w:val="555555"/>
          <w:sz w:val="18"/>
        </w:rPr>
        <w:t xml:space="preserve">Beamtenzuständigkeitsverordnung MWFK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Vertretung des Landes vor den Gerichten der Verwaltungsgerichtsbarkeit gemäß § 103 des Landesbeamtengesetzes wird auf die in § 5 genannte Stelle übertragen, soweit diese über den Widerspruch zu entscheiden hat.</w:t>
      </w:r>
    </w:p>
    <w:p>
      <w:r>
        <w:t xml:space="preserve">(2) Im Rahmen der Übertragung der Zuständigkeit nach § 5 wird die Zentrale Bezügestelle des Landes Brandenburg ermächtigt, das Ministerium für Wissenschaft, Forschung und Kultur, das Brandenburgische Landeshauptarchiv sowie das Brandenburgische Landesamt für Denkmalpflege und Archäologisches Landesmuseum in verwaltungs- und arbeitsgerichtlichen Streitigkeiten zu vertreten.</w:t>
      </w:r>
    </w:p>
    <w:p>
      <w:r>
        <w:t xml:space="preserve">(3) Die Absätze 1 und 2 gelten entsprechend für Verfahren des einstweiligen Rechtsschutzes.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BZVMWFK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https://recht.nulegal.eu/gesetze/BZVMWFK/6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