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BZVMWFK (Brandenburg) — Weitere Zuständigkeiten</w:t>
      </w:r>
    </w:p>
    <w:p>
      <w:r>
        <w:rPr>
          <w:color w:val="555555"/>
          <w:sz w:val="18"/>
        </w:rPr>
        <w:t xml:space="preserve">Beamtenzuständigkeitsverordnung MWFK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Brandenburgische Landeshauptarchiv und das Brandenburgische Landesamt für Denkmalpflege und Archäologisches Landesmuseum sind für ihren jeweiligen Geschäftsbereich zuständig für:</w:t>
      </w:r>
    </w:p>
    <w:p>
      <w:r>
        <w:t xml:space="preserve">die Entscheidung über das Verbot der Führung der Dienstgeschäfte gemäß § 54 des Landesbeamtengesetzes,</w:t>
      </w:r>
    </w:p>
    <w:p>
      <w:r>
        <w:t xml:space="preserve">die Entscheidung über die Versagung der Aussagegenehmigung gemäß § 56 des Landesbeamtengesetzes, wobei die Versagung der Aussagegenehmigung der vorherigen Zustimmung des Ministeriums für Wissenschaft, Forschung und Kultur bedarf,</w:t>
      </w:r>
    </w:p>
    <w:p>
      <w:r>
        <w:t xml:space="preserve">die Zustimmung zur Annahme von Belohnungen und Geschenken und sonstigen Vorteilen gemäß § 57 des Landesbeamtengesetzes,</w:t>
      </w:r>
    </w:p>
    <w:p>
      <w:r>
        <w:t xml:space="preserve">die Erlaubnis zur Führung der Amtsbezeichnung mit dem Zusatz „außer Dienst“ („a. D.“) gemäß § 69 des Landesbeamtengesetzes,</w:t>
      </w:r>
    </w:p>
    <w:p>
      <w:r>
        <w:t xml:space="preserve">die Nebentätigkeitsangelegenheiten und Untersagung von Tätigkeiten nach Beendigung des Beamtenverhältnisses gemäß den §§ 84 bis 89 und 92 des Landesbeamtengesetzes, soweit nicht die Entscheidung gemäß § 87 Satz 1 des Landesbeamtengesetzes der obersten Dienstbehörde vorbehalten ist,</w:t>
      </w:r>
    </w:p>
    <w:p>
      <w:r>
        <w:t xml:space="preserve">die Befugnis zur Gewährung und Versagung der Dienstjubiläumszuwendungen gemäß § 6 der Dienstjubiläumsverordnung,</w:t>
      </w:r>
    </w:p>
    <w:p>
      <w:r>
        <w:t xml:space="preserve">die Entscheidungen über den Umfang der Stellenausschreibungen und ihrer Bekanntmachung gemäß § 4 Absatz 4 der Laufbahnverordnung,</w:t>
      </w:r>
    </w:p>
    <w:p>
      <w:r>
        <w:t xml:space="preserve">die Anerkennung von Urlaub auf die Probezeit gemäß § 9 Absatz 4 Satz 3 der Laufbahnverordnung,</w:t>
      </w:r>
    </w:p>
    <w:p>
      <w:r>
        <w:t xml:space="preserve">die Zulassung zur Einführung in die nächsthöhere Laufbahn gemäß § 22 Absatz 4 Satz 1 sowie die Entscheidung über den Erwerb der Laufbahnbefähigung gemäß § 39 Absatz 1 zweiter Halbsatz der Laufbahnverordnung,</w:t>
      </w:r>
    </w:p>
    <w:p>
      <w:r>
        <w:t xml:space="preserve">die Kürzung der Anwärterbezüge gemäß § 58 Absatz 1 des Brandenburgischen Besoldungsgesetzes.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BZVMWFK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https://recht.nulegal.eu/gesetze/BZVMWFK/3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