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BZVMSGIV (Brandenburg) — Vertretung bei Klagen aus dem Beamtenverhältnis</w:t>
      </w:r>
    </w:p>
    <w:p>
      <w:r>
        <w:rPr>
          <w:color w:val="555555"/>
          <w:sz w:val="18"/>
        </w:rPr>
        <w:t xml:space="preserve">Beamtenzuständigkeitsverordnung MSGIV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Vertretung des Landes vor den Gerichten der Verwaltungsgerichtsbarkeit wird auf die in § 1 genannten Dienststellen für ihren jeweiligen Bereich übertragen, soweit diese selbst über den Widerspruch entschieden haben oder hätten entscheiden müssen (§ 103 Absatz 2 des Landesbeamtengesetzes). Satz 1 ist in Verfahren zur Erlangung des einstweiligen Rechtsschutzes gemäß §§ 80 bis 80b und § 123 der Verwaltungsgerichtsordnung entsprechend anzuwenden.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BZVMSGIV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https://recht.nulegal.eu/gesetze/BZVMSGIV/5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